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4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ФИНАНСОВЫЙ ОТДЕЛ АДМИНИСТРАЦИИ</w:t>
      </w:r>
    </w:p>
    <w:p w:rsid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БОБРОВСКОГО МУНИЦИПАЛЬНОГО РАЙОНА</w:t>
      </w:r>
    </w:p>
    <w:p w:rsid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ВОРОНЕЖСКОЙ ОБЛАСТИ</w:t>
      </w:r>
    </w:p>
    <w:p w:rsidR="004603DD" w:rsidRDefault="004603DD" w:rsidP="00C05A27">
      <w:pPr>
        <w:pStyle w:val="a3"/>
        <w:ind w:left="0"/>
        <w:jc w:val="center"/>
        <w:rPr>
          <w:b/>
        </w:rPr>
      </w:pPr>
    </w:p>
    <w:p w:rsid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ПРИКАЗ №</w:t>
      </w:r>
      <w:r w:rsidR="005104C1">
        <w:rPr>
          <w:b/>
        </w:rPr>
        <w:t xml:space="preserve"> </w:t>
      </w:r>
      <w:r w:rsidR="00027199">
        <w:rPr>
          <w:b/>
        </w:rPr>
        <w:t>8</w:t>
      </w:r>
    </w:p>
    <w:p w:rsidR="002C36D6" w:rsidRPr="004603DD" w:rsidRDefault="002C36D6" w:rsidP="00C05A27">
      <w:pPr>
        <w:pStyle w:val="a3"/>
        <w:ind w:left="0"/>
        <w:jc w:val="center"/>
        <w:rPr>
          <w:b/>
        </w:rPr>
      </w:pPr>
    </w:p>
    <w:p w:rsidR="004603DD" w:rsidRPr="004603DD" w:rsidRDefault="00D3251C" w:rsidP="00C052A8">
      <w:pPr>
        <w:pStyle w:val="a3"/>
        <w:tabs>
          <w:tab w:val="left" w:pos="364"/>
          <w:tab w:val="left" w:pos="1807"/>
          <w:tab w:val="left" w:pos="3051"/>
          <w:tab w:val="left" w:pos="4083"/>
          <w:tab w:val="left" w:pos="4296"/>
          <w:tab w:val="left" w:pos="5478"/>
          <w:tab w:val="right" w:pos="9356"/>
        </w:tabs>
        <w:spacing w:before="245"/>
        <w:ind w:right="214"/>
        <w:jc w:val="right"/>
        <w:rPr>
          <w:b/>
        </w:rPr>
      </w:pPr>
      <w:r>
        <w:rPr>
          <w:b/>
        </w:rPr>
        <w:tab/>
      </w:r>
      <w:r w:rsidR="002D5EED">
        <w:rPr>
          <w:b/>
        </w:rPr>
        <w:t>«</w:t>
      </w:r>
      <w:r w:rsidR="00213F82">
        <w:rPr>
          <w:b/>
        </w:rPr>
        <w:t xml:space="preserve"> 2</w:t>
      </w:r>
      <w:r w:rsidR="00027199">
        <w:rPr>
          <w:b/>
        </w:rPr>
        <w:t>9</w:t>
      </w:r>
      <w:r w:rsidR="008F29B1">
        <w:rPr>
          <w:b/>
        </w:rPr>
        <w:t xml:space="preserve"> </w:t>
      </w:r>
      <w:r w:rsidRPr="00D3251C">
        <w:rPr>
          <w:b/>
        </w:rPr>
        <w:t xml:space="preserve">» </w:t>
      </w:r>
      <w:r w:rsidR="00027199">
        <w:rPr>
          <w:b/>
        </w:rPr>
        <w:t xml:space="preserve">февраля </w:t>
      </w:r>
      <w:r w:rsidR="002D5EED">
        <w:rPr>
          <w:b/>
        </w:rPr>
        <w:t>202</w:t>
      </w:r>
      <w:r w:rsidR="008F29B1">
        <w:rPr>
          <w:b/>
        </w:rPr>
        <w:t>4</w:t>
      </w:r>
      <w:r w:rsidR="002D5EED">
        <w:rPr>
          <w:b/>
        </w:rPr>
        <w:t xml:space="preserve"> г.</w:t>
      </w:r>
      <w:r w:rsidRPr="00D3251C">
        <w:tab/>
      </w:r>
      <w:r w:rsidR="002D5EED">
        <w:rPr>
          <w:b/>
        </w:rPr>
        <w:tab/>
      </w:r>
      <w:r w:rsidR="002D5EED">
        <w:rPr>
          <w:b/>
        </w:rPr>
        <w:tab/>
      </w:r>
      <w:r w:rsidR="002D5EED">
        <w:rPr>
          <w:b/>
        </w:rPr>
        <w:tab/>
      </w:r>
      <w:r w:rsidR="005104C1">
        <w:rPr>
          <w:b/>
        </w:rPr>
        <w:t xml:space="preserve">                                 </w:t>
      </w:r>
      <w:r w:rsidR="00C052A8">
        <w:rPr>
          <w:b/>
        </w:rPr>
        <w:t xml:space="preserve">        </w:t>
      </w:r>
      <w:r w:rsidR="005104C1">
        <w:rPr>
          <w:b/>
        </w:rPr>
        <w:t xml:space="preserve">  </w:t>
      </w:r>
      <w:r w:rsidR="004603DD" w:rsidRPr="00D3251C">
        <w:rPr>
          <w:b/>
        </w:rPr>
        <w:t>г. Бобров</w:t>
      </w:r>
    </w:p>
    <w:p w:rsidR="004603DD" w:rsidRDefault="004603DD" w:rsidP="00C052A8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ind w:right="214"/>
        <w:jc w:val="right"/>
        <w:rPr>
          <w:b/>
        </w:rPr>
      </w:pPr>
    </w:p>
    <w:p w:rsidR="002C36D6" w:rsidRPr="002C36D6" w:rsidRDefault="002C36D6" w:rsidP="004603DD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ind w:right="214"/>
        <w:jc w:val="center"/>
        <w:rPr>
          <w:b/>
        </w:rPr>
      </w:pPr>
      <w:r>
        <w:rPr>
          <w:b/>
        </w:rPr>
        <w:t xml:space="preserve">О внесении изменений </w:t>
      </w:r>
    </w:p>
    <w:p w:rsidR="004603DD" w:rsidRPr="004603DD" w:rsidRDefault="002C36D6" w:rsidP="002D5EED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ind w:right="214"/>
        <w:jc w:val="center"/>
        <w:rPr>
          <w:b/>
        </w:rPr>
      </w:pPr>
      <w:r>
        <w:rPr>
          <w:b/>
        </w:rPr>
        <w:t>в приказ финансового отдела администрации Бобровского муниципального района Воронежской области от 28.12.2023 № 94</w:t>
      </w:r>
    </w:p>
    <w:p w:rsidR="006631A4" w:rsidRPr="00EB1960" w:rsidRDefault="006631A4">
      <w:pPr>
        <w:pStyle w:val="a3"/>
        <w:spacing w:before="4"/>
        <w:ind w:left="0"/>
        <w:jc w:val="left"/>
        <w:rPr>
          <w:sz w:val="26"/>
          <w:szCs w:val="26"/>
        </w:rPr>
      </w:pPr>
    </w:p>
    <w:p w:rsidR="006631A4" w:rsidRDefault="008B411F" w:rsidP="001E6F63">
      <w:pPr>
        <w:pStyle w:val="a3"/>
        <w:spacing w:line="360" w:lineRule="auto"/>
        <w:ind w:left="0" w:firstLine="709"/>
      </w:pPr>
      <w:r>
        <w:t xml:space="preserve">В соответствии с </w:t>
      </w:r>
      <w:r w:rsidR="002D5EED">
        <w:t>подпунктом 1 пункта 6 статьи 160.2-1 Бюджетного кодекса Российской Федерации</w:t>
      </w:r>
    </w:p>
    <w:p w:rsidR="006631A4" w:rsidRPr="001E6F63" w:rsidRDefault="001E6F63" w:rsidP="001E6F63">
      <w:pPr>
        <w:spacing w:line="360" w:lineRule="auto"/>
        <w:ind w:firstLine="709"/>
        <w:jc w:val="both"/>
        <w:rPr>
          <w:b/>
          <w:sz w:val="28"/>
        </w:rPr>
      </w:pPr>
      <w:r w:rsidRPr="001E6F63">
        <w:rPr>
          <w:b/>
          <w:sz w:val="28"/>
        </w:rPr>
        <w:t>п р и к а з ы в а ю</w:t>
      </w:r>
      <w:r w:rsidR="008B411F" w:rsidRPr="001E6F63">
        <w:rPr>
          <w:b/>
          <w:sz w:val="28"/>
        </w:rPr>
        <w:t>:</w:t>
      </w:r>
    </w:p>
    <w:p w:rsidR="002C36D6" w:rsidRDefault="002C36D6" w:rsidP="001E6F63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spacing w:line="360" w:lineRule="auto"/>
        <w:ind w:left="0" w:firstLine="709"/>
      </w:pPr>
      <w:r>
        <w:t xml:space="preserve">1. </w:t>
      </w:r>
      <w:r w:rsidRPr="002C36D6">
        <w:t>Внести в приказ финансового отдела администрации Бобровского муниципального района Воронежской области от 28.12.2023 № 94 «Об утверждении Порядка проведения мониторинга качества финансового менеджмента</w:t>
      </w:r>
      <w:r>
        <w:t>» следующие изменения:</w:t>
      </w:r>
    </w:p>
    <w:p w:rsidR="00285D86" w:rsidRDefault="00285D86" w:rsidP="00285D86">
      <w:pPr>
        <w:pStyle w:val="a5"/>
        <w:tabs>
          <w:tab w:val="left" w:pos="1166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1.1. Приложение № 1 к По</w:t>
      </w:r>
      <w:r w:rsidR="0041062E">
        <w:rPr>
          <w:sz w:val="28"/>
          <w:szCs w:val="28"/>
        </w:rPr>
        <w:t>рядку изложить в новой редакции</w:t>
      </w:r>
      <w:r>
        <w:rPr>
          <w:sz w:val="28"/>
          <w:szCs w:val="28"/>
        </w:rPr>
        <w:t xml:space="preserve"> согласно приложению № 1 к настоящему порядку.</w:t>
      </w:r>
    </w:p>
    <w:p w:rsidR="007916AF" w:rsidRDefault="007916AF" w:rsidP="007916AF">
      <w:pPr>
        <w:pStyle w:val="a5"/>
        <w:tabs>
          <w:tab w:val="left" w:pos="1166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1.2. Приложение № 2 к Порядку изложить в новой редакции согласно приложению № 2 к настоящему порядку.</w:t>
      </w:r>
    </w:p>
    <w:p w:rsidR="00300899" w:rsidRDefault="002C36D6" w:rsidP="001E6F63">
      <w:pPr>
        <w:pStyle w:val="a5"/>
        <w:tabs>
          <w:tab w:val="left" w:pos="1166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916A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062E">
        <w:rPr>
          <w:sz w:val="28"/>
          <w:szCs w:val="28"/>
        </w:rPr>
        <w:t>Подпункт</w:t>
      </w:r>
      <w:r w:rsidR="00300899">
        <w:rPr>
          <w:sz w:val="28"/>
          <w:szCs w:val="28"/>
        </w:rPr>
        <w:t xml:space="preserve"> 5.</w:t>
      </w:r>
      <w:r w:rsidR="00EF1432">
        <w:rPr>
          <w:sz w:val="28"/>
          <w:szCs w:val="28"/>
        </w:rPr>
        <w:t>2</w:t>
      </w:r>
      <w:r w:rsidR="00300899">
        <w:rPr>
          <w:sz w:val="28"/>
          <w:szCs w:val="28"/>
        </w:rPr>
        <w:t xml:space="preserve"> пункта 5 части </w:t>
      </w:r>
      <w:r w:rsidR="00EF1432">
        <w:rPr>
          <w:sz w:val="28"/>
          <w:szCs w:val="28"/>
        </w:rPr>
        <w:t>2</w:t>
      </w:r>
      <w:r w:rsidR="00300899">
        <w:rPr>
          <w:sz w:val="28"/>
          <w:szCs w:val="28"/>
        </w:rPr>
        <w:t xml:space="preserve"> </w:t>
      </w:r>
      <w:r w:rsidR="00285D86">
        <w:rPr>
          <w:sz w:val="28"/>
          <w:szCs w:val="28"/>
        </w:rPr>
        <w:t xml:space="preserve">Порядка </w:t>
      </w:r>
      <w:r w:rsidR="00300899">
        <w:rPr>
          <w:sz w:val="28"/>
          <w:szCs w:val="28"/>
        </w:rPr>
        <w:t>изложить в следующей редакции: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«5.2.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менеджмента, осуществляемого ГРБС, и максимально возможной оценки, которую может получить ГРБС за качество финансового менеджмента, исходя из применимости показателей.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41062E" w:rsidRDefault="0041062E" w:rsidP="0041062E">
      <w:pPr>
        <w:pStyle w:val="a3"/>
        <w:spacing w:before="7" w:line="360" w:lineRule="auto"/>
        <w:ind w:firstLine="720"/>
        <w:jc w:val="center"/>
      </w:pPr>
      <w:r>
        <w:lastRenderedPageBreak/>
        <w:t>Q = КФМ / MAX,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где: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КФМ - суммарная оценка качества финансового менеджмента ГРБС;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MAX - максимально возможная оценка, которую может получить ГРБС за качество финансового менеджмента, исходя из применимости показателей.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Чем выше значение показателя «Q», тем выше уровень качества финансового менеджмента ГРБС. Максимальный уровень качества составляет 1,0.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По суммарной оценке, полученной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Рейтинговая оценка каждого ГРБС (R) за качество финансового менеджмента рассчитывается по следующей формуле:</w:t>
      </w:r>
    </w:p>
    <w:p w:rsidR="0041062E" w:rsidRDefault="0041062E" w:rsidP="0041062E">
      <w:pPr>
        <w:pStyle w:val="a3"/>
        <w:spacing w:before="7" w:line="360" w:lineRule="auto"/>
        <w:ind w:firstLine="720"/>
        <w:jc w:val="center"/>
      </w:pPr>
      <w:r>
        <w:t>R = Q x 5,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где: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Q - уровень качества финансового менеджмента ГРБС.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1E6F63" w:rsidRDefault="001E6F63" w:rsidP="001E6F63">
      <w:pPr>
        <w:pStyle w:val="a3"/>
        <w:spacing w:line="360" w:lineRule="auto"/>
        <w:ind w:left="0" w:firstLine="709"/>
      </w:pPr>
      <w:r>
        <w:t xml:space="preserve">Сводный рейтинг, ранжированный по убыванию оценок качества финансового менеджмента ГРБС, составляется по форме согласно приложению </w:t>
      </w:r>
      <w:r w:rsidR="007A5484">
        <w:t xml:space="preserve">                       </w:t>
      </w:r>
      <w:r>
        <w:t>№ 3 к Порядку.</w:t>
      </w:r>
      <w:r w:rsidR="0041062E">
        <w:t>».</w:t>
      </w:r>
    </w:p>
    <w:p w:rsidR="00300899" w:rsidRDefault="00300899" w:rsidP="001E6F63">
      <w:pPr>
        <w:pStyle w:val="a5"/>
        <w:tabs>
          <w:tab w:val="left" w:pos="1166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916A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1062E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5.3 пункта 5 части </w:t>
      </w:r>
      <w:r w:rsidR="00EF1432">
        <w:rPr>
          <w:sz w:val="28"/>
          <w:szCs w:val="28"/>
        </w:rPr>
        <w:t>2</w:t>
      </w:r>
      <w:r w:rsidR="00285D86">
        <w:rPr>
          <w:sz w:val="28"/>
          <w:szCs w:val="28"/>
        </w:rPr>
        <w:t xml:space="preserve"> Порядка</w:t>
      </w:r>
      <w:r w:rsidR="00EF143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«5.3. Оценка среднего уровня качества финансового менеджмента ГРБС (MR) рассчитывается по следующей формуле:</w:t>
      </w:r>
    </w:p>
    <w:p w:rsidR="0041062E" w:rsidRDefault="0041062E" w:rsidP="0041062E">
      <w:pPr>
        <w:pStyle w:val="a3"/>
        <w:spacing w:before="7" w:line="360" w:lineRule="auto"/>
        <w:ind w:firstLine="720"/>
      </w:pPr>
      <m:oMathPara>
        <m:oMath>
          <m:r>
            <w:rPr>
              <w:rFonts w:ascii="Cambria Math" w:hAnsi="Cambria Math"/>
            </w:rPr>
            <m:t>MR=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R/n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41062E" w:rsidRDefault="0041062E" w:rsidP="0041062E">
      <w:pPr>
        <w:pStyle w:val="a3"/>
        <w:spacing w:before="7" w:line="360" w:lineRule="auto"/>
        <w:ind w:firstLine="720"/>
      </w:pPr>
      <w:r>
        <w:t>где:</w:t>
      </w:r>
    </w:p>
    <w:p w:rsidR="0041062E" w:rsidRDefault="009135C3" w:rsidP="0041062E">
      <w:pPr>
        <w:pStyle w:val="a3"/>
        <w:spacing w:before="7" w:line="360" w:lineRule="auto"/>
        <w:ind w:firstLine="720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R</m:t>
            </m:r>
          </m:e>
        </m:nary>
      </m:oMath>
      <w:r w:rsidR="0041062E">
        <w:t>- сумма рейтинговых оценок ГРБС, принявших участие в оценке качества финансового менеджмента;</w:t>
      </w:r>
    </w:p>
    <w:p w:rsidR="0041062E" w:rsidRDefault="0041062E" w:rsidP="0041062E">
      <w:pPr>
        <w:pStyle w:val="a3"/>
        <w:spacing w:before="7" w:line="360" w:lineRule="auto"/>
        <w:ind w:firstLine="720"/>
      </w:pPr>
      <w:r>
        <w:t>n - количество ГРБС, принявших участие в оценке качества финансового менеджмента.</w:t>
      </w:r>
    </w:p>
    <w:p w:rsidR="00300899" w:rsidRDefault="00300899" w:rsidP="001E6F63">
      <w:pPr>
        <w:pStyle w:val="a3"/>
        <w:spacing w:line="360" w:lineRule="auto"/>
        <w:ind w:left="0" w:firstLine="709"/>
      </w:pPr>
      <w:r>
        <w:t>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ГРБС (графа 4 приложения № 3 к Порядку) и максимально возможная оценка, которую может получить ГРБС за качество финансового менеджмента, исходя из применимости показателей</w:t>
      </w:r>
      <w:r w:rsidR="007A5484">
        <w:t xml:space="preserve"> </w:t>
      </w:r>
      <w:r>
        <w:t>(графа 5 приложения № 3 к Порядку).</w:t>
      </w:r>
      <w:r w:rsidR="0041062E">
        <w:t>».</w:t>
      </w:r>
    </w:p>
    <w:p w:rsidR="00CC0934" w:rsidRPr="00CC0934" w:rsidRDefault="00CC0934" w:rsidP="001E6F63">
      <w:pPr>
        <w:pStyle w:val="a5"/>
        <w:tabs>
          <w:tab w:val="left" w:pos="1166"/>
        </w:tabs>
        <w:spacing w:line="360" w:lineRule="auto"/>
        <w:ind w:left="0" w:right="0" w:firstLine="709"/>
        <w:rPr>
          <w:sz w:val="32"/>
          <w:szCs w:val="28"/>
        </w:rPr>
      </w:pPr>
      <w:r w:rsidRPr="00CC0934">
        <w:rPr>
          <w:color w:val="000000"/>
          <w:sz w:val="28"/>
          <w:szCs w:val="27"/>
        </w:rPr>
        <w:t xml:space="preserve">2. Настоящий </w:t>
      </w:r>
      <w:r>
        <w:rPr>
          <w:color w:val="000000"/>
          <w:sz w:val="28"/>
          <w:szCs w:val="27"/>
        </w:rPr>
        <w:t>приказ</w:t>
      </w:r>
      <w:r w:rsidRPr="00CC0934">
        <w:rPr>
          <w:color w:val="000000"/>
          <w:sz w:val="28"/>
          <w:szCs w:val="27"/>
        </w:rPr>
        <w:t xml:space="preserve"> вступает в силу с момента его подписания.</w:t>
      </w:r>
    </w:p>
    <w:p w:rsidR="008F29B1" w:rsidRPr="008F29B1" w:rsidRDefault="00CC0934" w:rsidP="001E6F63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8F29B1">
        <w:rPr>
          <w:sz w:val="28"/>
        </w:rPr>
        <w:t xml:space="preserve">. </w:t>
      </w:r>
      <w:r w:rsidR="008F29B1" w:rsidRPr="008F29B1">
        <w:rPr>
          <w:sz w:val="28"/>
        </w:rPr>
        <w:t>Контроль за исполнением настоящего Порядка оставляю за собой.</w:t>
      </w:r>
    </w:p>
    <w:p w:rsidR="008F29B1" w:rsidRDefault="008F29B1" w:rsidP="001E6F63">
      <w:pPr>
        <w:pStyle w:val="a3"/>
        <w:ind w:left="0"/>
        <w:rPr>
          <w:sz w:val="24"/>
        </w:rPr>
      </w:pPr>
    </w:p>
    <w:p w:rsidR="008F29B1" w:rsidRDefault="008F29B1" w:rsidP="001E6F63">
      <w:pPr>
        <w:spacing w:before="66"/>
        <w:ind w:right="107"/>
        <w:jc w:val="both"/>
        <w:rPr>
          <w:sz w:val="28"/>
          <w:szCs w:val="28"/>
        </w:rPr>
      </w:pPr>
    </w:p>
    <w:p w:rsidR="00B21952" w:rsidRDefault="00B21952" w:rsidP="001E6F63">
      <w:pPr>
        <w:spacing w:before="66"/>
        <w:ind w:right="107"/>
        <w:jc w:val="both"/>
        <w:rPr>
          <w:sz w:val="28"/>
          <w:szCs w:val="28"/>
        </w:rPr>
      </w:pPr>
    </w:p>
    <w:p w:rsidR="008F29B1" w:rsidRPr="00B471BE" w:rsidRDefault="008F29B1" w:rsidP="001E6F63">
      <w:pPr>
        <w:jc w:val="both"/>
        <w:rPr>
          <w:sz w:val="28"/>
          <w:szCs w:val="28"/>
        </w:rPr>
      </w:pPr>
      <w:r w:rsidRPr="00B471BE">
        <w:rPr>
          <w:sz w:val="28"/>
          <w:szCs w:val="28"/>
        </w:rPr>
        <w:t>Руководитель финансового отдела</w:t>
      </w:r>
    </w:p>
    <w:p w:rsidR="008F29B1" w:rsidRDefault="008F29B1" w:rsidP="001E6F63">
      <w:pPr>
        <w:jc w:val="both"/>
        <w:rPr>
          <w:sz w:val="28"/>
          <w:szCs w:val="28"/>
        </w:rPr>
      </w:pPr>
      <w:r w:rsidRPr="00B471BE">
        <w:rPr>
          <w:sz w:val="28"/>
          <w:szCs w:val="28"/>
        </w:rPr>
        <w:t xml:space="preserve">администрации Бобровского </w:t>
      </w:r>
    </w:p>
    <w:p w:rsidR="008F29B1" w:rsidRPr="00B471BE" w:rsidRDefault="008F29B1" w:rsidP="001E6F63">
      <w:pPr>
        <w:jc w:val="both"/>
        <w:rPr>
          <w:sz w:val="28"/>
          <w:szCs w:val="28"/>
        </w:rPr>
      </w:pPr>
      <w:r w:rsidRPr="00B471BE">
        <w:rPr>
          <w:sz w:val="28"/>
          <w:szCs w:val="28"/>
        </w:rPr>
        <w:t>муниципального района</w:t>
      </w:r>
    </w:p>
    <w:p w:rsidR="008F29B1" w:rsidRPr="00B471BE" w:rsidRDefault="008F29B1" w:rsidP="001E6F63">
      <w:pPr>
        <w:jc w:val="both"/>
        <w:rPr>
          <w:sz w:val="28"/>
          <w:szCs w:val="28"/>
        </w:rPr>
      </w:pPr>
      <w:r w:rsidRPr="00B471BE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932159">
        <w:rPr>
          <w:sz w:val="28"/>
          <w:szCs w:val="28"/>
        </w:rPr>
        <w:t xml:space="preserve">   </w:t>
      </w:r>
      <w:r w:rsidRPr="00B471BE">
        <w:rPr>
          <w:sz w:val="28"/>
          <w:szCs w:val="28"/>
        </w:rPr>
        <w:t>Е.А. Попова</w:t>
      </w:r>
    </w:p>
    <w:p w:rsidR="00C05A27" w:rsidRDefault="00C05A27" w:rsidP="001E6F63">
      <w:pPr>
        <w:spacing w:before="66"/>
        <w:ind w:left="7173" w:right="107" w:firstLine="984"/>
        <w:jc w:val="both"/>
        <w:rPr>
          <w:sz w:val="24"/>
        </w:rPr>
      </w:pPr>
    </w:p>
    <w:p w:rsidR="00C05A27" w:rsidRDefault="00C05A27">
      <w:pPr>
        <w:spacing w:before="66"/>
        <w:ind w:left="7173" w:right="107" w:firstLine="984"/>
        <w:jc w:val="right"/>
        <w:rPr>
          <w:sz w:val="24"/>
        </w:rPr>
      </w:pPr>
    </w:p>
    <w:p w:rsidR="00C05A27" w:rsidRDefault="00C05A27">
      <w:pPr>
        <w:spacing w:before="66"/>
        <w:ind w:left="7173" w:right="107" w:firstLine="984"/>
        <w:jc w:val="right"/>
        <w:rPr>
          <w:sz w:val="24"/>
        </w:rPr>
      </w:pPr>
    </w:p>
    <w:p w:rsidR="00C05A27" w:rsidRDefault="00C05A27" w:rsidP="002F7701">
      <w:pPr>
        <w:spacing w:before="66"/>
        <w:ind w:right="107"/>
        <w:rPr>
          <w:sz w:val="24"/>
        </w:rPr>
      </w:pPr>
    </w:p>
    <w:p w:rsidR="008F29B1" w:rsidRDefault="008F29B1" w:rsidP="002E6CF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  <w:sectPr w:rsidR="008F29B1" w:rsidSect="003F70E1">
          <w:pgSz w:w="11910" w:h="16840"/>
          <w:pgMar w:top="1134" w:right="567" w:bottom="1134" w:left="1418" w:header="720" w:footer="720" w:gutter="0"/>
          <w:cols w:space="720"/>
          <w:docGrid w:linePitch="299"/>
        </w:sectPr>
      </w:pPr>
    </w:p>
    <w:p w:rsidR="0009774C" w:rsidRDefault="0009774C" w:rsidP="004C474C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Приложение 1 </w:t>
      </w:r>
    </w:p>
    <w:p w:rsidR="0009774C" w:rsidRDefault="0009774C" w:rsidP="004C474C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Поряд</w:t>
      </w:r>
      <w:r w:rsidRPr="0009774C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у </w:t>
      </w:r>
      <w:r w:rsidRPr="0009774C">
        <w:rPr>
          <w:b w:val="0"/>
          <w:sz w:val="22"/>
          <w:szCs w:val="22"/>
        </w:rPr>
        <w:t xml:space="preserve">проведения мониторинга </w:t>
      </w:r>
    </w:p>
    <w:p w:rsidR="0009774C" w:rsidRDefault="0009774C" w:rsidP="004C474C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sz w:val="22"/>
          <w:szCs w:val="22"/>
        </w:rPr>
        <w:t>качества финансового менеджмента</w:t>
      </w:r>
    </w:p>
    <w:p w:rsidR="004C474C" w:rsidRDefault="004C474C" w:rsidP="002E6CFF">
      <w:pPr>
        <w:pStyle w:val="1"/>
        <w:ind w:left="4496"/>
        <w:jc w:val="right"/>
        <w:rPr>
          <w:b w:val="0"/>
          <w:sz w:val="22"/>
          <w:szCs w:val="22"/>
        </w:rPr>
      </w:pPr>
    </w:p>
    <w:p w:rsidR="0009774C" w:rsidRDefault="0009774C" w:rsidP="0009774C">
      <w:pPr>
        <w:pStyle w:val="1"/>
        <w:spacing w:line="322" w:lineRule="exact"/>
        <w:ind w:left="4499"/>
        <w:rPr>
          <w:sz w:val="22"/>
          <w:szCs w:val="22"/>
        </w:rPr>
      </w:pPr>
      <w:r w:rsidRPr="0009774C">
        <w:rPr>
          <w:sz w:val="22"/>
          <w:szCs w:val="22"/>
        </w:rPr>
        <w:t>Показатели мониторинга качества финансового менеджмента</w:t>
      </w:r>
    </w:p>
    <w:p w:rsidR="00EB7690" w:rsidRDefault="00EB7690" w:rsidP="0009774C">
      <w:pPr>
        <w:pStyle w:val="1"/>
        <w:spacing w:line="322" w:lineRule="exact"/>
        <w:ind w:left="4499"/>
        <w:rPr>
          <w:sz w:val="22"/>
          <w:szCs w:val="22"/>
        </w:r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276"/>
        <w:gridCol w:w="1701"/>
        <w:gridCol w:w="1985"/>
        <w:gridCol w:w="2347"/>
      </w:tblGrid>
      <w:tr w:rsidR="00E16D46" w:rsidRPr="00E75ED8" w:rsidTr="00BB1B07">
        <w:tc>
          <w:tcPr>
            <w:tcW w:w="2410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</w:rPr>
              <w:t>Расчет показателя (</w:t>
            </w:r>
            <w:r w:rsidRPr="00E75ED8">
              <w:rPr>
                <w:b w:val="0"/>
                <w:sz w:val="22"/>
                <w:szCs w:val="22"/>
                <w:lang w:val="en-US"/>
              </w:rPr>
              <w:t>Pj)</w:t>
            </w:r>
          </w:p>
        </w:tc>
        <w:tc>
          <w:tcPr>
            <w:tcW w:w="1276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Максимальная суммарная оценка по направлению/ оценка по показателю, </w:t>
            </w:r>
            <w:r w:rsidRPr="00E75ED8">
              <w:rPr>
                <w:b w:val="0"/>
                <w:sz w:val="22"/>
                <w:szCs w:val="22"/>
                <w:lang w:val="en-US"/>
              </w:rPr>
              <w:t>K</w:t>
            </w:r>
            <w:r w:rsidRPr="00E75ED8">
              <w:rPr>
                <w:b w:val="0"/>
                <w:sz w:val="22"/>
                <w:szCs w:val="22"/>
              </w:rPr>
              <w:t>/(</w:t>
            </w:r>
            <w:r w:rsidRPr="00E75ED8">
              <w:rPr>
                <w:b w:val="0"/>
                <w:sz w:val="22"/>
                <w:szCs w:val="22"/>
                <w:lang w:val="en-US"/>
              </w:rPr>
              <w:t>Pj</w:t>
            </w:r>
            <w:r w:rsidRPr="00E75ED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Документы, используемые для расчета показателя</w:t>
            </w:r>
          </w:p>
        </w:tc>
        <w:tc>
          <w:tcPr>
            <w:tcW w:w="2347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Ком</w:t>
            </w:r>
            <w:r w:rsidR="00814E5B" w:rsidRPr="00E75ED8">
              <w:rPr>
                <w:b w:val="0"/>
                <w:sz w:val="22"/>
                <w:szCs w:val="22"/>
              </w:rPr>
              <w:t>м</w:t>
            </w:r>
            <w:r w:rsidRPr="00E75ED8">
              <w:rPr>
                <w:b w:val="0"/>
                <w:sz w:val="22"/>
                <w:szCs w:val="22"/>
              </w:rPr>
              <w:t>ентарий</w:t>
            </w:r>
          </w:p>
        </w:tc>
      </w:tr>
      <w:tr w:rsidR="00E16D46" w:rsidRPr="00E75ED8" w:rsidTr="00BB1B07">
        <w:tc>
          <w:tcPr>
            <w:tcW w:w="2410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6</w:t>
            </w:r>
          </w:p>
        </w:tc>
      </w:tr>
      <w:tr w:rsidR="007F6CB7" w:rsidRPr="00E75ED8" w:rsidTr="00BB1B07">
        <w:tc>
          <w:tcPr>
            <w:tcW w:w="8647" w:type="dxa"/>
            <w:gridSpan w:val="3"/>
          </w:tcPr>
          <w:p w:rsidR="00B11603" w:rsidRPr="00E75ED8" w:rsidRDefault="00B11603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планирования и управления расходами бюджета</w:t>
            </w:r>
          </w:p>
        </w:tc>
        <w:tc>
          <w:tcPr>
            <w:tcW w:w="1701" w:type="dxa"/>
          </w:tcPr>
          <w:p w:rsidR="00B11603" w:rsidRPr="00E75ED8" w:rsidRDefault="00044342" w:rsidP="0059747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   </w:t>
            </w:r>
            <w:r w:rsidR="00597470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B11603" w:rsidRPr="00E75ED8" w:rsidRDefault="00B11603" w:rsidP="009F0FD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B11603" w:rsidRPr="00E75ED8" w:rsidRDefault="00B11603" w:rsidP="009F0FD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 w:val="restart"/>
          </w:tcPr>
          <w:p w:rsidR="00D61965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1,1</m:t>
                  </m:r>
                </m:sub>
              </m:sSub>
            </m:oMath>
            <w:r w:rsidR="00D61965" w:rsidRPr="00E75ED8">
              <w:rPr>
                <w:b w:val="0"/>
                <w:sz w:val="22"/>
                <w:szCs w:val="22"/>
              </w:rPr>
              <w:t>-доля суммы изменений в сводную бюджетную роспись</w:t>
            </w:r>
          </w:p>
        </w:tc>
        <w:tc>
          <w:tcPr>
            <w:tcW w:w="4961" w:type="dxa"/>
          </w:tcPr>
          <w:p w:rsidR="00D61965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=100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oMath>
            <w:r w:rsidR="00D61965" w:rsidRPr="00E75ED8">
              <w:rPr>
                <w:b w:val="0"/>
                <w:sz w:val="22"/>
                <w:szCs w:val="22"/>
              </w:rPr>
              <w:t>, где:</w:t>
            </w:r>
          </w:p>
          <w:p w:rsidR="00D61965" w:rsidRPr="00E75ED8" w:rsidRDefault="009135C3" w:rsidP="005F0EB1">
            <w:pPr>
              <w:pStyle w:val="1"/>
              <w:spacing w:line="240" w:lineRule="atLeast"/>
              <w:ind w:left="33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D61965" w:rsidRPr="00E75ED8">
              <w:rPr>
                <w:b w:val="0"/>
                <w:sz w:val="22"/>
                <w:szCs w:val="22"/>
              </w:rPr>
              <w:t>-сумма изменений (в абсолютной величине) бюджетных ассигнований (за исключением дополнительно выделенных средств целевых межбюджетных трансфертов) в случаях: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внесения изменений в муниципальные программы Бобровского муниципального района в части изменения исполнителей мероприятий, перечня мероприятий муниципальной программы, утвержденных на соответствующий финансовый год решением о местном бюджете на очередной финансовый год и на плановый период;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ГРБС на соответствующий финансовый год решением о бюджете на очередной финансовый год и плановый период;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</w:rPr>
              <w:t>b</w:t>
            </w:r>
            <w:r w:rsidRPr="00E75ED8">
              <w:rPr>
                <w:b w:val="0"/>
                <w:sz w:val="22"/>
                <w:szCs w:val="22"/>
              </w:rPr>
              <w:t xml:space="preserve"> - объем бюджетных ассигнований ГРБС согласно сводной бюджетной росписи с учетом внесенных в нее изменений по состоянию на конец отчетного периода</w:t>
            </w:r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Справки-уведомления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об изменении</w:t>
            </w:r>
          </w:p>
          <w:p w:rsidR="00D61965" w:rsidRPr="00E75ED8" w:rsidRDefault="005F0EB1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бюджетной росписи и лимитов бюджетных обязательств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ГРБС за отчетный период;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сводная бюджетная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роспись бюджета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Большое значение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показателя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свидетельствует о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низком качестве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работы ГРБС по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бюджетному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планированию.</w:t>
            </w:r>
          </w:p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значение показателя, не превышающее 10%</w:t>
            </w: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D61965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&gt;50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40&lt;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30&lt;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≤40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≤30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rPr>
          <w:trHeight w:val="70"/>
        </w:trPr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 w:val="restart"/>
          </w:tcPr>
          <w:p w:rsidR="005B2242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</m:oMath>
            <w:r w:rsidR="007916AF">
              <w:rPr>
                <w:b w:val="0"/>
                <w:sz w:val="22"/>
                <w:szCs w:val="22"/>
              </w:rPr>
              <w:t>-</w:t>
            </w:r>
            <w:r w:rsidR="005B2242" w:rsidRPr="00E75ED8">
              <w:rPr>
                <w:b w:val="0"/>
                <w:sz w:val="22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4961" w:type="dxa"/>
          </w:tcPr>
          <w:p w:rsidR="005B2242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100х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неисп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S</m:t>
              </m:r>
            </m:oMath>
            <w:r w:rsidR="005B2242" w:rsidRPr="00E75ED8">
              <w:rPr>
                <w:b w:val="0"/>
                <w:i/>
                <w:sz w:val="22"/>
                <w:szCs w:val="22"/>
              </w:rPr>
              <w:t xml:space="preserve">, </w:t>
            </w:r>
            <w:r w:rsidR="005B2242" w:rsidRPr="00E75ED8">
              <w:rPr>
                <w:b w:val="0"/>
                <w:sz w:val="22"/>
                <w:szCs w:val="22"/>
              </w:rPr>
              <w:t>где:</w:t>
            </w:r>
          </w:p>
          <w:p w:rsidR="005B2242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неисп</m:t>
                  </m:r>
                </m:sub>
              </m:sSub>
            </m:oMath>
            <w:r w:rsidR="005B2242" w:rsidRPr="00E75ED8">
              <w:rPr>
                <w:b w:val="0"/>
                <w:sz w:val="22"/>
                <w:szCs w:val="22"/>
              </w:rPr>
              <w:t>- сумма неиспользованных на конец года бюджетных ассигнований;</w:t>
            </w:r>
          </w:p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  <w:lang w:val="en-US"/>
              </w:rPr>
              <w:t>S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- общая сумма бюджетных ассигнований</w:t>
            </w:r>
          </w:p>
        </w:tc>
        <w:tc>
          <w:tcPr>
            <w:tcW w:w="1276" w:type="dxa"/>
            <w:vMerge w:val="restart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исполнении бюджета ГРБС (ф. 0503117М)</w:t>
            </w:r>
          </w:p>
        </w:tc>
        <w:tc>
          <w:tcPr>
            <w:tcW w:w="2347" w:type="dxa"/>
            <w:vMerge w:val="restart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 расценивается значительный объем неисполненных на конец года бюджетных ассигнований на обеспечение выполнения функция казенных учреждений</w:t>
            </w: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B2242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&gt;50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40&lt;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30&lt;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≤40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≤30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 w:val="restart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1,3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-равномерность</w:t>
            </w:r>
          </w:p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осуществления</w:t>
            </w:r>
          </w:p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расходов</w:t>
            </w:r>
          </w:p>
        </w:tc>
        <w:tc>
          <w:tcPr>
            <w:tcW w:w="4961" w:type="dxa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(4 кв.)/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х 100,</m:t>
              </m:r>
            </m:oMath>
            <w:r w:rsidR="001D22BD" w:rsidRPr="00E75ED8">
              <w:rPr>
                <w:b w:val="0"/>
                <w:sz w:val="22"/>
                <w:szCs w:val="22"/>
              </w:rPr>
              <w:t xml:space="preserve"> где:</w:t>
            </w:r>
          </w:p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(4 кв.)</m:t>
              </m:r>
            </m:oMath>
            <w:r w:rsidR="001D22BD" w:rsidRPr="00E75ED8">
              <w:rPr>
                <w:b w:val="0"/>
                <w:sz w:val="22"/>
                <w:szCs w:val="22"/>
              </w:rPr>
              <w:t>- кассовые расходы, произведенные ГРБС и подведомственными ему муниципальными учреждениями в</w:t>
            </w:r>
            <w:r w:rsidR="00213F82">
              <w:rPr>
                <w:b w:val="0"/>
                <w:sz w:val="22"/>
                <w:szCs w:val="22"/>
              </w:rPr>
              <w:t xml:space="preserve"> </w:t>
            </w:r>
            <w:r w:rsidR="001D22BD" w:rsidRPr="00E75ED8">
              <w:rPr>
                <w:b w:val="0"/>
                <w:sz w:val="22"/>
                <w:szCs w:val="22"/>
              </w:rPr>
              <w:t>4 квартале отчетного года, без учета дополнительно доведенных в течение года безвозмездных поступлений из областного бюджета, имеющих целевое назначение;</w:t>
            </w:r>
          </w:p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 -кассовые расходы, произведенные ГРБС и подведомственными ему муниципальными учреждениями в отчетном году, без учета дополнительно доведенных в течение года безвозмездных поступлений из областного бюджета, имеющих целевое назначение</w:t>
            </w:r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исполнении бюджета ГРБС (ф. 0503117М)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A4178F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Показатель выявляет</w:t>
            </w:r>
            <w:r w:rsidR="00A4178F">
              <w:rPr>
                <w:b w:val="0"/>
                <w:sz w:val="22"/>
                <w:szCs w:val="22"/>
              </w:rPr>
              <w:t xml:space="preserve"> к</w:t>
            </w:r>
            <w:r w:rsidRPr="00E75ED8">
              <w:rPr>
                <w:b w:val="0"/>
                <w:sz w:val="22"/>
                <w:szCs w:val="22"/>
              </w:rPr>
              <w:t>онцентрацию расходов ГРБС в 4 квартале финансового года. Целевым ориентиром является значение показателя, не превышающее 25%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≤25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≤30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≤35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≤40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≤45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&gt;45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rPr>
          <w:trHeight w:val="2760"/>
        </w:trPr>
        <w:tc>
          <w:tcPr>
            <w:tcW w:w="2410" w:type="dxa"/>
            <w:vMerge w:val="restart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1,4</m:t>
                  </m:r>
                </m:sub>
              </m:sSub>
            </m:oMath>
            <w:r w:rsidR="006D7FE3" w:rsidRPr="00E75ED8">
              <w:rPr>
                <w:b w:val="0"/>
                <w:sz w:val="22"/>
                <w:szCs w:val="22"/>
              </w:rPr>
              <w:t>-</w:t>
            </w:r>
            <w:r w:rsidR="006D7FE3" w:rsidRPr="00E75ED8">
              <w:t xml:space="preserve"> </w:t>
            </w:r>
            <w:r w:rsidR="004C474C">
              <w:rPr>
                <w:b w:val="0"/>
                <w:sz w:val="22"/>
                <w:szCs w:val="22"/>
              </w:rPr>
              <w:t>э</w:t>
            </w:r>
            <w:r w:rsidR="006D7FE3" w:rsidRPr="00E75ED8">
              <w:rPr>
                <w:b w:val="0"/>
                <w:sz w:val="22"/>
                <w:szCs w:val="22"/>
              </w:rPr>
              <w:t xml:space="preserve">ффективность управления кредиторской задолженностью по расчетам с поставщиками и подрядчиками </w:t>
            </w: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=К/Е х100</m:t>
              </m:r>
            </m:oMath>
            <w:r w:rsidR="006D7FE3" w:rsidRPr="00E75ED8">
              <w:rPr>
                <w:b w:val="0"/>
                <w:i/>
                <w:sz w:val="22"/>
                <w:szCs w:val="22"/>
              </w:rPr>
              <w:t>,</w:t>
            </w:r>
            <w:r w:rsidR="00F55505" w:rsidRPr="00E75ED8">
              <w:rPr>
                <w:b w:val="0"/>
                <w:i/>
                <w:sz w:val="22"/>
                <w:szCs w:val="22"/>
              </w:rPr>
              <w:t xml:space="preserve"> </w:t>
            </w:r>
            <w:r w:rsidR="006D7FE3" w:rsidRPr="00E75ED8">
              <w:rPr>
                <w:b w:val="0"/>
                <w:sz w:val="22"/>
                <w:szCs w:val="22"/>
              </w:rPr>
              <w:t>где:</w:t>
            </w:r>
          </w:p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sz w:val="22"/>
                <w:szCs w:val="22"/>
              </w:rPr>
              <w:t>К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Pr="00E75ED8">
              <w:t xml:space="preserve"> </w:t>
            </w:r>
            <w:r w:rsidRPr="00E75ED8">
              <w:rPr>
                <w:b w:val="0"/>
                <w:sz w:val="22"/>
                <w:szCs w:val="22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sz w:val="22"/>
                <w:szCs w:val="22"/>
              </w:rPr>
              <w:t>Е</w:t>
            </w:r>
            <w:r w:rsidRPr="00E75ED8">
              <w:rPr>
                <w:b w:val="0"/>
                <w:sz w:val="22"/>
                <w:szCs w:val="22"/>
              </w:rPr>
              <w:t>- кассовое исполнение расходов ГРБС в отчетном финансовом году</w:t>
            </w:r>
          </w:p>
        </w:tc>
        <w:tc>
          <w:tcPr>
            <w:tcW w:w="1276" w:type="dxa"/>
            <w:vMerge w:val="restart"/>
          </w:tcPr>
          <w:p w:rsidR="006D7FE3" w:rsidRPr="00E75ED8" w:rsidRDefault="006D7FE3" w:rsidP="00FE6B7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 о кредиторской задолженности по расчетам с поставщиками и подрядчиками</w:t>
            </w:r>
          </w:p>
        </w:tc>
        <w:tc>
          <w:tcPr>
            <w:tcW w:w="2347" w:type="dxa"/>
            <w:vMerge w:val="restart"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≤0,5%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0,5%&lt;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≤1,0%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≤2,0%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≤5,0%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≤10,0%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&gt;10,0%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 w:val="restart"/>
          </w:tcPr>
          <w:p w:rsidR="002C6EA6" w:rsidRPr="00E75ED8" w:rsidRDefault="009135C3" w:rsidP="00A4178F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1,5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-наличие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нарушений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Бюджетного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законодательства,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выявленных в ходе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проведения внешних и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="00814E5B" w:rsidRPr="00E75ED8">
              <w:rPr>
                <w:b w:val="0"/>
                <w:sz w:val="22"/>
                <w:szCs w:val="22"/>
              </w:rPr>
              <w:t xml:space="preserve">внутренних </w:t>
            </w:r>
            <w:r w:rsidR="002C6EA6" w:rsidRPr="00E75ED8">
              <w:rPr>
                <w:b w:val="0"/>
                <w:sz w:val="22"/>
                <w:szCs w:val="22"/>
              </w:rPr>
              <w:t>контрольных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="00814E5B" w:rsidRPr="00E75ED8">
              <w:rPr>
                <w:b w:val="0"/>
                <w:sz w:val="22"/>
                <w:szCs w:val="22"/>
              </w:rPr>
              <w:t xml:space="preserve">мероприятий в </w:t>
            </w:r>
            <w:r w:rsidR="002C6EA6" w:rsidRPr="00E75ED8">
              <w:rPr>
                <w:b w:val="0"/>
                <w:sz w:val="22"/>
                <w:szCs w:val="22"/>
              </w:rPr>
              <w:t>отчетном финансовом</w:t>
            </w:r>
            <w:r w:rsidR="00910091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году</w:t>
            </w:r>
          </w:p>
        </w:tc>
        <w:tc>
          <w:tcPr>
            <w:tcW w:w="4961" w:type="dxa"/>
          </w:tcPr>
          <w:p w:rsidR="002C6EA6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1,5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100% х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вкм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, где:</w:t>
            </w:r>
          </w:p>
          <w:p w:rsidR="002C6EA6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фн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 xml:space="preserve"> - количество внешних и внутренних контрольных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мероприятий, проведенных в отношении ГРБС и подведомственных им учреждений, в ходе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которых выявлены нарушения бюджетного законодательства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в отчетном году;</w:t>
            </w:r>
          </w:p>
          <w:p w:rsidR="002C6EA6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вкм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-количество внешних и внутренних контрольных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мероприятий, проведенных в отношении ГРБС и подведомственных им учреждений в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отчетном году</w:t>
            </w:r>
          </w:p>
        </w:tc>
        <w:tc>
          <w:tcPr>
            <w:tcW w:w="1276" w:type="dxa"/>
          </w:tcPr>
          <w:p w:rsidR="002C6EA6" w:rsidRPr="00E75ED8" w:rsidRDefault="002C6EA6" w:rsidP="00814E5B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C6EA6" w:rsidRPr="00E75ED8" w:rsidRDefault="002C6EA6" w:rsidP="00A4178F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предоставляются</w:t>
            </w:r>
            <w:r w:rsidR="00A4178F">
              <w:rPr>
                <w:b w:val="0"/>
                <w:sz w:val="22"/>
                <w:szCs w:val="22"/>
              </w:rPr>
              <w:t xml:space="preserve"> </w:t>
            </w:r>
            <w:r w:rsidR="005F0EB1" w:rsidRPr="00E75ED8">
              <w:rPr>
                <w:b w:val="0"/>
                <w:sz w:val="22"/>
                <w:szCs w:val="22"/>
              </w:rPr>
              <w:t xml:space="preserve">Ревизионной комиссией Бобровского муниципального района </w:t>
            </w:r>
          </w:p>
        </w:tc>
        <w:tc>
          <w:tcPr>
            <w:tcW w:w="2347" w:type="dxa"/>
            <w:vMerge w:val="restart"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Негативным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считается факт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наличия нарушений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бюджетного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законодательства.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ориентиром является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значение показателя= 0% (отсутствие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нарушений,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выявленных в ходе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проведения внешних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 внутренних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контрольных</w:t>
            </w:r>
          </w:p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мероприятий)</w:t>
            </w: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≤25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50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≤75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75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≤100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580C9A">
        <w:trPr>
          <w:trHeight w:val="82"/>
        </w:trPr>
        <w:tc>
          <w:tcPr>
            <w:tcW w:w="2410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8647" w:type="dxa"/>
            <w:gridSpan w:val="3"/>
          </w:tcPr>
          <w:p w:rsidR="005B2242" w:rsidRPr="00E75ED8" w:rsidRDefault="005B2242" w:rsidP="005F0EB1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управления доходами бюджета</w:t>
            </w:r>
          </w:p>
        </w:tc>
        <w:tc>
          <w:tcPr>
            <w:tcW w:w="1701" w:type="dxa"/>
            <w:vAlign w:val="center"/>
          </w:tcPr>
          <w:p w:rsidR="005B2242" w:rsidRPr="00E75ED8" w:rsidRDefault="007916AF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5B2242" w:rsidRPr="00E75ED8" w:rsidRDefault="005B2242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80314" w:rsidRPr="00E75ED8" w:rsidTr="00BB1B07">
        <w:trPr>
          <w:trHeight w:val="3112"/>
        </w:trPr>
        <w:tc>
          <w:tcPr>
            <w:tcW w:w="2410" w:type="dxa"/>
            <w:vMerge w:val="restart"/>
          </w:tcPr>
          <w:p w:rsidR="00380314" w:rsidRPr="00E75ED8" w:rsidRDefault="009135C3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</m:oMath>
            <w:r w:rsidR="00380314" w:rsidRPr="00E75ED8">
              <w:rPr>
                <w:b w:val="0"/>
                <w:sz w:val="22"/>
                <w:szCs w:val="22"/>
              </w:rPr>
              <w:t>-</w:t>
            </w:r>
            <w:r w:rsidR="004A74DB" w:rsidRPr="00E75ED8">
              <w:rPr>
                <w:b w:val="0"/>
                <w:sz w:val="22"/>
                <w:szCs w:val="22"/>
              </w:rPr>
              <w:t>отношение показателей уточненного плана по доходам к показателям первоначального плана</w:t>
            </w:r>
            <w:r w:rsidR="00B57EEE">
              <w:rPr>
                <w:b w:val="0"/>
                <w:sz w:val="22"/>
                <w:szCs w:val="22"/>
              </w:rPr>
              <w:t xml:space="preserve"> </w:t>
            </w:r>
            <w:r w:rsidR="00B57EEE" w:rsidRPr="00E75ED8">
              <w:rPr>
                <w:b w:val="0"/>
                <w:sz w:val="22"/>
                <w:szCs w:val="22"/>
              </w:rPr>
              <w:t>(без учета безвозмездных поступлений</w:t>
            </w:r>
            <w:r w:rsidR="00B57EEE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380314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=A/B</m:t>
              </m:r>
            </m:oMath>
            <w:r w:rsidR="00380314" w:rsidRPr="00E75ED8">
              <w:rPr>
                <w:b w:val="0"/>
                <w:sz w:val="22"/>
                <w:szCs w:val="22"/>
              </w:rPr>
              <w:t xml:space="preserve"> где:</w:t>
            </w:r>
          </w:p>
          <w:p w:rsidR="00380314" w:rsidRPr="00E75ED8" w:rsidRDefault="00380314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  <w:lang w:val="en-US"/>
              </w:rPr>
              <w:t>A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 xml:space="preserve">- </w:t>
            </w:r>
            <w:r w:rsidR="004A74DB" w:rsidRPr="00E75ED8">
              <w:rPr>
                <w:b w:val="0"/>
                <w:sz w:val="22"/>
                <w:szCs w:val="22"/>
              </w:rPr>
              <w:t>уточненный план в соответствии с решением о бюд</w:t>
            </w:r>
            <w:r w:rsidR="002F1DA2">
              <w:rPr>
                <w:b w:val="0"/>
                <w:sz w:val="22"/>
                <w:szCs w:val="22"/>
              </w:rPr>
              <w:t>жете на конец отчетного периода</w:t>
            </w:r>
            <w:r w:rsidRPr="00E75ED8">
              <w:rPr>
                <w:b w:val="0"/>
                <w:sz w:val="22"/>
                <w:szCs w:val="22"/>
              </w:rPr>
              <w:t>;</w:t>
            </w:r>
          </w:p>
          <w:p w:rsidR="00380314" w:rsidRPr="00E75ED8" w:rsidRDefault="00380314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  <w:lang w:val="en-US"/>
              </w:rPr>
              <w:t>B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="00213F82">
              <w:rPr>
                <w:b w:val="0"/>
                <w:sz w:val="22"/>
                <w:szCs w:val="22"/>
              </w:rPr>
              <w:t xml:space="preserve"> </w:t>
            </w:r>
            <w:r w:rsidR="004A74DB" w:rsidRPr="00E75ED8">
              <w:rPr>
                <w:b w:val="0"/>
                <w:sz w:val="22"/>
                <w:szCs w:val="22"/>
              </w:rPr>
              <w:t>первоначально утвержденный план в соответствии с решением о бюджете на отчетный финансовый год</w:t>
            </w:r>
            <w:r w:rsidR="00C75C2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80314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Показатели, утвержденные решением о бюджете. Данные отчета об исполнении бюджета</w:t>
            </w:r>
          </w:p>
        </w:tc>
        <w:tc>
          <w:tcPr>
            <w:tcW w:w="2347" w:type="dxa"/>
            <w:vMerge w:val="restart"/>
          </w:tcPr>
          <w:p w:rsidR="0069727F" w:rsidRPr="00E75ED8" w:rsidRDefault="0069727F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</w:t>
            </w:r>
          </w:p>
          <w:p w:rsidR="0069727F" w:rsidRPr="00E75ED8" w:rsidRDefault="0069727F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расценивается как</w:t>
            </w:r>
          </w:p>
          <w:p w:rsidR="0069727F" w:rsidRPr="00E75ED8" w:rsidRDefault="0069727F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недовыполнение</w:t>
            </w:r>
          </w:p>
          <w:p w:rsidR="00380314" w:rsidRPr="00E75ED8" w:rsidRDefault="00CD25C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показателей</w:t>
            </w:r>
            <w:r w:rsidR="0069727F" w:rsidRPr="00E75ED8">
              <w:rPr>
                <w:b w:val="0"/>
                <w:sz w:val="22"/>
                <w:szCs w:val="22"/>
              </w:rPr>
              <w:t xml:space="preserve">, так и значительное превышение </w:t>
            </w:r>
            <w:r w:rsidRPr="00E75ED8">
              <w:rPr>
                <w:b w:val="0"/>
                <w:sz w:val="22"/>
                <w:szCs w:val="22"/>
              </w:rPr>
              <w:t>уточненного плана к первоначально утвержденному</w:t>
            </w:r>
            <w:r w:rsidR="0069727F" w:rsidRPr="00E75ED8">
              <w:rPr>
                <w:b w:val="0"/>
                <w:sz w:val="22"/>
                <w:szCs w:val="22"/>
              </w:rPr>
              <w:t xml:space="preserve">. Целевым ориентиром является стремление к отсутствию расхождений между </w:t>
            </w:r>
            <w:r w:rsidRPr="00E75ED8">
              <w:rPr>
                <w:b w:val="0"/>
                <w:sz w:val="22"/>
                <w:szCs w:val="22"/>
              </w:rPr>
              <w:t>уточненным и первоначально утвержденным планом</w:t>
            </w:r>
          </w:p>
        </w:tc>
      </w:tr>
      <w:tr w:rsidR="00380314" w:rsidRPr="00E75ED8" w:rsidTr="00BB1B07">
        <w:tc>
          <w:tcPr>
            <w:tcW w:w="2410" w:type="dxa"/>
            <w:vMerge/>
          </w:tcPr>
          <w:p w:rsidR="00380314" w:rsidRPr="00E75ED8" w:rsidRDefault="00380314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4F0A" w:rsidRPr="00D94F0A" w:rsidRDefault="00D94F0A" w:rsidP="005F0EB1">
            <w:pPr>
              <w:pStyle w:val="1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95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≤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≤1,05</m:t>
                </m:r>
              </m:oMath>
            </m:oMathPara>
          </w:p>
        </w:tc>
        <w:tc>
          <w:tcPr>
            <w:tcW w:w="1276" w:type="dxa"/>
            <w:vMerge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0314" w:rsidRPr="00E75ED8" w:rsidRDefault="00F9285A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380314" w:rsidRPr="00E75ED8" w:rsidRDefault="00380314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80314" w:rsidRPr="00E75ED8" w:rsidRDefault="00380314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D94F0A">
        <w:tc>
          <w:tcPr>
            <w:tcW w:w="2410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D94F0A" w:rsidRDefault="009135C3" w:rsidP="005F0EB1">
            <w:pPr>
              <w:pStyle w:val="1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85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≤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w:bookmarkStart w:id="0" w:name="_GoBack"/>
                <w:bookmarkEnd w:id="0"/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0,95</m:t>
                </m:r>
              </m:oMath>
            </m:oMathPara>
          </w:p>
          <w:p w:rsidR="00D94F0A" w:rsidRPr="004C474C" w:rsidRDefault="00D94F0A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,05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&lt;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≤1,15</m:t>
                </m:r>
              </m:oMath>
            </m:oMathPara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74DB" w:rsidRPr="00D94F0A" w:rsidRDefault="00D94F0A" w:rsidP="00D94F0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D94F0A">
        <w:tc>
          <w:tcPr>
            <w:tcW w:w="2410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D94F0A" w:rsidRDefault="009135C3" w:rsidP="005F0EB1">
            <w:pPr>
              <w:pStyle w:val="1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8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&lt;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</m:oMath>
            </m:oMathPara>
          </w:p>
          <w:p w:rsidR="00D94F0A" w:rsidRPr="00AA7991" w:rsidRDefault="00AA7991" w:rsidP="00AA7991">
            <w:pPr>
              <w:pStyle w:val="1"/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1,15</m:t>
                </m:r>
              </m:oMath>
            </m:oMathPara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74DB" w:rsidRPr="00D94F0A" w:rsidRDefault="00D94F0A" w:rsidP="00D94F0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 w:val="restart"/>
          </w:tcPr>
          <w:p w:rsidR="005642F0" w:rsidRPr="00E75ED8" w:rsidRDefault="009135C3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</m:oMath>
            <w:r w:rsidR="005642F0" w:rsidRPr="00E75ED8">
              <w:rPr>
                <w:b w:val="0"/>
                <w:sz w:val="22"/>
                <w:szCs w:val="22"/>
              </w:rPr>
              <w:t>-темп роста объема доходов (без учета безвозмездных поступлений</w:t>
            </w:r>
            <w:r w:rsidR="00D65E58">
              <w:rPr>
                <w:b w:val="0"/>
                <w:sz w:val="22"/>
                <w:szCs w:val="22"/>
              </w:rPr>
              <w:t xml:space="preserve">) к предыдущему году/ </w:t>
            </w:r>
            <w:r w:rsidR="00D65E58" w:rsidRPr="00E75ED8">
              <w:rPr>
                <w:b w:val="0"/>
                <w:sz w:val="22"/>
                <w:szCs w:val="22"/>
              </w:rPr>
              <w:t>темп роста объема доходов от оказания платных услуг (работ) к предыдущему году</w:t>
            </w:r>
          </w:p>
        </w:tc>
        <w:tc>
          <w:tcPr>
            <w:tcW w:w="4961" w:type="dxa"/>
          </w:tcPr>
          <w:p w:rsidR="005642F0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=A/Bх100</m:t>
              </m:r>
            </m:oMath>
            <w:r w:rsidR="005642F0" w:rsidRPr="00E75ED8">
              <w:rPr>
                <w:b w:val="0"/>
                <w:sz w:val="22"/>
                <w:szCs w:val="22"/>
              </w:rPr>
              <w:t>, где:</w:t>
            </w:r>
          </w:p>
          <w:p w:rsidR="005642F0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  <w:lang w:val="en-US"/>
              </w:rPr>
              <w:t>A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объем поступления доходов (без учета безвозмездных поступлений) за отчетный финансовый год;</w:t>
            </w:r>
          </w:p>
          <w:p w:rsidR="000C2C11" w:rsidRPr="00E75ED8" w:rsidRDefault="000C2C11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5642F0" w:rsidRDefault="005642F0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2F1DA2">
              <w:rPr>
                <w:sz w:val="22"/>
                <w:szCs w:val="22"/>
                <w:lang w:val="en-US"/>
              </w:rPr>
              <w:t>B</w:t>
            </w:r>
            <w:r w:rsidR="002F1DA2">
              <w:rPr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="002F1DA2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объем поступления доходов (без учета безвозмездных поступлений) за год, предшествующий отчетному финансовому году</w:t>
            </w:r>
          </w:p>
          <w:p w:rsidR="000C2C11" w:rsidRPr="00E75ED8" w:rsidRDefault="000C2C11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</w:t>
            </w:r>
            <w:r w:rsidR="00814E5B" w:rsidRPr="00E75ED8">
              <w:rPr>
                <w:b w:val="0"/>
                <w:sz w:val="22"/>
                <w:szCs w:val="22"/>
              </w:rPr>
              <w:t xml:space="preserve">лнении кассового плана и планов </w:t>
            </w:r>
            <w:r w:rsidRPr="00E75ED8">
              <w:rPr>
                <w:b w:val="0"/>
                <w:sz w:val="22"/>
                <w:szCs w:val="22"/>
              </w:rPr>
              <w:t>финансово-хозяйственной деятельности</w:t>
            </w:r>
          </w:p>
        </w:tc>
        <w:tc>
          <w:tcPr>
            <w:tcW w:w="2347" w:type="dxa"/>
            <w:vMerge w:val="restart"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рост объема доходов (без учета безвозмездных поступлений от других бюджетов бюджетной системы РФ)</w:t>
            </w: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E84C19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i/>
                <w:sz w:val="22"/>
                <w:szCs w:val="22"/>
              </w:rPr>
            </w:pPr>
            <w:r w:rsidRPr="00E75ED8">
              <w:rPr>
                <w:i/>
                <w:sz w:val="22"/>
                <w:szCs w:val="22"/>
              </w:rPr>
              <w:t>112%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</m:oMath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E84C19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109%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112%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106%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109%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103%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106%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100%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103%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A43B77">
        <w:trPr>
          <w:trHeight w:val="318"/>
        </w:trPr>
        <w:tc>
          <w:tcPr>
            <w:tcW w:w="2410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9135C3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</m:oMath>
            <w:r w:rsidR="00D50927" w:rsidRPr="00E75ED8"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5F0EB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D90F03">
        <w:trPr>
          <w:trHeight w:val="318"/>
        </w:trPr>
        <w:tc>
          <w:tcPr>
            <w:tcW w:w="2410" w:type="dxa"/>
            <w:vMerge w:val="restart"/>
          </w:tcPr>
          <w:p w:rsidR="00D90F03" w:rsidRPr="00E75ED8" w:rsidRDefault="009135C3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2.3</m:t>
                  </m:r>
                </m:sub>
              </m:sSub>
            </m:oMath>
            <w:r w:rsidR="00D90F03">
              <w:rPr>
                <w:b w:val="0"/>
                <w:sz w:val="22"/>
                <w:szCs w:val="22"/>
              </w:rPr>
              <w:t>-</w:t>
            </w:r>
            <w:r w:rsidR="00D90F03" w:rsidRPr="00E75ED8">
              <w:rPr>
                <w:b w:val="0"/>
                <w:sz w:val="22"/>
                <w:szCs w:val="22"/>
              </w:rPr>
              <w:t xml:space="preserve">изменение дебиторской задолженности </w:t>
            </w:r>
            <w:r w:rsidR="00D90F03">
              <w:rPr>
                <w:b w:val="0"/>
                <w:sz w:val="22"/>
                <w:szCs w:val="22"/>
              </w:rPr>
              <w:t>по доходам в бюджет ГАДБ</w:t>
            </w:r>
            <w:r w:rsidR="00D90F03" w:rsidRPr="00E75ED8">
              <w:rPr>
                <w:b w:val="0"/>
                <w:sz w:val="22"/>
                <w:szCs w:val="22"/>
              </w:rPr>
              <w:t xml:space="preserve"> и подведомственных ему муниципальных бюджетных учреждений в отчетном периоде по сравнению с началом года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2.3</m:t>
                  </m:r>
                </m:sub>
              </m:sSub>
            </m:oMath>
            <w:r w:rsidR="00D90F03" w:rsidRPr="00E75ED8"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, где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 объем дебиторской задолженности </w:t>
            </w:r>
            <w:r w:rsidR="00D90F03">
              <w:rPr>
                <w:b w:val="0"/>
                <w:sz w:val="22"/>
                <w:szCs w:val="22"/>
              </w:rPr>
              <w:t>по доходам в бюджет ГАДБ</w:t>
            </w:r>
            <w:r w:rsidR="00D90F03" w:rsidRPr="00E75ED8">
              <w:rPr>
                <w:b w:val="0"/>
                <w:sz w:val="22"/>
                <w:szCs w:val="22"/>
              </w:rPr>
              <w:t xml:space="preserve"> и подведомственных ему муниципальных учреждений по состоянию на 1 число года, следующего за отчетным годом</w:t>
            </w:r>
            <w:r w:rsidR="00D90F03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 - объем дебиторской задолженности </w:t>
            </w:r>
            <w:r w:rsidR="00D90F03">
              <w:rPr>
                <w:b w:val="0"/>
                <w:sz w:val="22"/>
                <w:szCs w:val="22"/>
              </w:rPr>
              <w:t>по доходам в бюджет ГАДБ</w:t>
            </w:r>
            <w:r w:rsidR="00D90F03" w:rsidRPr="00E75ED8">
              <w:rPr>
                <w:b w:val="0"/>
                <w:sz w:val="22"/>
                <w:szCs w:val="22"/>
              </w:rPr>
              <w:t xml:space="preserve"> и подведомственных ему муниципальных учреждений на начало </w:t>
            </w:r>
            <w:r w:rsidR="00D90F03">
              <w:rPr>
                <w:b w:val="0"/>
                <w:sz w:val="22"/>
                <w:szCs w:val="22"/>
              </w:rPr>
              <w:t>отчетного</w:t>
            </w:r>
            <w:r w:rsidR="00D90F03" w:rsidRPr="00E75ED8">
              <w:rPr>
                <w:b w:val="0"/>
                <w:sz w:val="22"/>
                <w:szCs w:val="22"/>
              </w:rPr>
              <w:t xml:space="preserve"> года,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Данные предоставляются </w:t>
            </w:r>
            <w:r>
              <w:rPr>
                <w:b w:val="0"/>
                <w:sz w:val="22"/>
                <w:szCs w:val="22"/>
              </w:rPr>
              <w:t>ГАДБ</w:t>
            </w: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дебиторской задолженности</w:t>
            </w:r>
            <w:r>
              <w:rPr>
                <w:b w:val="0"/>
                <w:sz w:val="22"/>
                <w:szCs w:val="22"/>
              </w:rPr>
              <w:t xml:space="preserve"> по доходам в бюджет</w:t>
            </w:r>
          </w:p>
        </w:tc>
      </w:tr>
      <w:tr w:rsidR="00D90F03" w:rsidRPr="00E75ED8" w:rsidTr="007916AF">
        <w:trPr>
          <w:trHeight w:val="318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Дебиторская задолженность </w:t>
            </w:r>
            <w:r>
              <w:rPr>
                <w:b w:val="0"/>
                <w:sz w:val="22"/>
                <w:szCs w:val="22"/>
              </w:rPr>
              <w:t xml:space="preserve">по доходам в бюджет </w:t>
            </w:r>
            <w:r w:rsidRPr="00E75ED8">
              <w:rPr>
                <w:b w:val="0"/>
                <w:sz w:val="22"/>
                <w:szCs w:val="22"/>
              </w:rPr>
              <w:t>отсутствует на начало текущего года и на 1 число, следующего за отчетным годом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7916AF">
        <w:trPr>
          <w:trHeight w:val="318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(снижение дебиторской задолженности)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7916AF">
        <w:trPr>
          <w:trHeight w:val="318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(дебиторская задолженность не изменилась)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7916AF">
        <w:trPr>
          <w:trHeight w:val="318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(допущен рост дебиторской задолженности)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ведения учета и составления бюджетной отчетности</w:t>
            </w: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1219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-соблюдение ГРБС требований по составу представления бюджетной отчетности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-соблюдение ГРБС требований по составу годовой бюджетной отчетности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C75C2D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C75C2D">
              <w:rPr>
                <w:b w:val="0"/>
                <w:color w:val="000000" w:themeColor="text1"/>
                <w:sz w:val="22"/>
                <w:szCs w:val="22"/>
              </w:rPr>
              <w:t>Информация, находящаяся в распоряжении Финансового отдела администрации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сам факт наличия полного состава годовой бюджетной отчетности в срок и соответствия заполнения форм инструкции NN 33-н и 191-н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в срок и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76089C">
        <w:trPr>
          <w:trHeight w:val="540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в срок, но не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90F03" w:rsidRPr="002F1DA2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2F1DA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465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-годовая бюджетная отчетность представлена ГРБС </w:t>
            </w:r>
            <w:r w:rsidR="00D90F03">
              <w:rPr>
                <w:b w:val="0"/>
                <w:sz w:val="22"/>
                <w:szCs w:val="22"/>
              </w:rPr>
              <w:t>с нарушением сроков</w:t>
            </w:r>
            <w:r w:rsidR="00D90F03" w:rsidRPr="00E75ED8">
              <w:rPr>
                <w:b w:val="0"/>
                <w:sz w:val="22"/>
                <w:szCs w:val="22"/>
              </w:rPr>
              <w:t>, но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271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с нарушением сроков и не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674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-выполнение ГРБС контрольных соотношений между показателями форм бюджетной отчетности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-выполнение ГРБС контрольных соотношений между показателями форм бюджетной отчетности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Информация, находящаяся в распоряжении Финансового отдела администрации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ошибок при проведении междокументного контроля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-контрольные соотношения между показателями форм бюджетной отчетности выполнены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-контрольные соотношения между показателями форм бюджетной отчетности не выполнены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организации и осуществления внутреннего финансового аудита</w:t>
            </w: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-наличие решения руководителя ГРБС об организации внутреннего финансового аудита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-наличие (отсутствие)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 ГРБС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Показатель характеризует уровень организации внутреннего финансового аудита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-наличие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-отсутствие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Оценка качества управления активами</w:t>
            </w: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729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-недостачи и хищения </w:t>
            </w:r>
            <w:r w:rsidR="00D90F03">
              <w:rPr>
                <w:b w:val="0"/>
                <w:sz w:val="22"/>
                <w:szCs w:val="22"/>
              </w:rPr>
              <w:t xml:space="preserve">муниципальной </w:t>
            </w:r>
            <w:r w:rsidR="00D90F03" w:rsidRPr="00E75ED8">
              <w:rPr>
                <w:b w:val="0"/>
                <w:sz w:val="22"/>
                <w:szCs w:val="22"/>
              </w:rPr>
              <w:t>собственности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наличие (отсутствие)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 расценивается наличие фактов недостач и хищений. Ориентиром для ГРБС является отсутствие недостач и хищений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-наличие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-отсутствие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2639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-нарушение при управлении и распоряжении </w:t>
            </w:r>
            <w:r w:rsidR="00D90F03">
              <w:rPr>
                <w:b w:val="0"/>
                <w:sz w:val="22"/>
                <w:szCs w:val="22"/>
              </w:rPr>
              <w:t xml:space="preserve">муниципальной </w:t>
            </w:r>
            <w:r w:rsidR="00D90F03" w:rsidRPr="00E75ED8">
              <w:rPr>
                <w:b w:val="0"/>
                <w:sz w:val="22"/>
                <w:szCs w:val="22"/>
              </w:rPr>
              <w:t>собственностью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наличие (отсутствие)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 расценивается наличие фактов нарушений при управлении и распоряжении государственной (муниципальной) собственностью.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Ориентиром для ГРБС является отсутствие нарушений при управлении и распоряжении государственной (муниципальной) собственностью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-наличие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отсутствие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 w:rsidRPr="00E75ED8"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</m:oMath>
            <w:r w:rsidR="00D90F03" w:rsidRPr="00E75ED8"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, где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  <w:r w:rsidR="00D90F03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 - объем дебиторской задолженности ГРБС и подведомственных ему муниципальных учреждений на начало </w:t>
            </w:r>
            <w:r w:rsidR="00D90F03">
              <w:rPr>
                <w:b w:val="0"/>
                <w:sz w:val="22"/>
                <w:szCs w:val="22"/>
              </w:rPr>
              <w:t>отчетного</w:t>
            </w:r>
            <w:r w:rsidR="00D90F03" w:rsidRPr="00E75ED8">
              <w:rPr>
                <w:b w:val="0"/>
                <w:sz w:val="22"/>
                <w:szCs w:val="22"/>
              </w:rPr>
              <w:t xml:space="preserve"> года,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дебиторской задолженности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(снижение дебиторской задолженности)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(дебиторская задолженность не изменилась)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&gt;0</m:t>
              </m:r>
            </m:oMath>
            <w:r w:rsidR="00D90F03" w:rsidRPr="00E75ED8">
              <w:rPr>
                <w:b w:val="0"/>
                <w:sz w:val="22"/>
                <w:szCs w:val="22"/>
              </w:rPr>
              <w:t xml:space="preserve"> (допущен рост дебиторской задолженности)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 w:val="restart"/>
          </w:tcPr>
          <w:p w:rsidR="00D90F03" w:rsidRPr="004C474C" w:rsidRDefault="009135C3" w:rsidP="00D90F03">
            <w:pPr>
              <w:pStyle w:val="TableParagraph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D90F03" w:rsidRPr="004C474C">
              <w:t>- 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 w:rsidRPr="00E75ED8"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наличие (отсутствие)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у ГРБС и подведомственных ему учреждений просроченной кредиторской задолженности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>
              <w:rPr>
                <w:b w:val="0"/>
                <w:sz w:val="22"/>
                <w:szCs w:val="22"/>
              </w:rPr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отсутствие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 w:rsidRPr="00E75ED8"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Открытость бюджетных данных</w:t>
            </w: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2477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TableParagraph"/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6.1</m:t>
                  </m:r>
                </m:sub>
              </m:sSub>
            </m:oMath>
            <w:r w:rsidR="00D90F03" w:rsidRPr="00E75ED8">
              <w:t>-своевременность и полнота размещения подведомственными учреждениями сведений на сайте РФ для размещения информации о государственных (муниципальных) учреждениях (bus.gov.ru) в соответствии с порядком, утвержденным Министерством финансов РФ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>
              <w:rPr>
                <w:b w:val="0"/>
                <w:sz w:val="22"/>
                <w:szCs w:val="22"/>
              </w:rPr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Своевременность и полнота размещения подведомственными учреждениями сведений на сайте РФ для размещения информации о государственных (муниципальных) учреждениях (bus.gov.ru) в соответствии с порядком, утвержденным Министерством финансов РФ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Своевременность и полнота размещения информации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>
              <w:rPr>
                <w:b w:val="0"/>
                <w:sz w:val="22"/>
                <w:szCs w:val="22"/>
              </w:rPr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Информац</w:t>
            </w:r>
            <w:r w:rsidR="00D90F03">
              <w:rPr>
                <w:b w:val="0"/>
                <w:sz w:val="22"/>
                <w:szCs w:val="22"/>
              </w:rPr>
              <w:t xml:space="preserve">ия </w:t>
            </w:r>
            <w:r w:rsidR="00D90F03" w:rsidRPr="00E75ED8">
              <w:rPr>
                <w:b w:val="0"/>
                <w:sz w:val="22"/>
                <w:szCs w:val="22"/>
              </w:rPr>
              <w:t>размещена в срок и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875E11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в срок, но не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875E11">
        <w:trPr>
          <w:trHeight w:val="510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с нарушением сроков</w:t>
            </w:r>
            <w:r w:rsidR="00D90F03">
              <w:rPr>
                <w:b w:val="0"/>
                <w:sz w:val="22"/>
                <w:szCs w:val="22"/>
              </w:rPr>
              <w:t xml:space="preserve">, но </w:t>
            </w:r>
            <w:r w:rsidR="00D90F03" w:rsidRPr="00E75ED8">
              <w:rPr>
                <w:b w:val="0"/>
                <w:sz w:val="22"/>
                <w:szCs w:val="22"/>
              </w:rPr>
              <w:t>в полном объеме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3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875E11">
        <w:trPr>
          <w:trHeight w:val="255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с нарушением сроков и не в полном объеме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2961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-доля казенных учреждений, опубликовавших на официальном сайте РФ для размещения информации о государственных (муниципа</w:t>
            </w:r>
            <w:r w:rsidR="00D90F03">
              <w:rPr>
                <w:b w:val="0"/>
                <w:sz w:val="22"/>
                <w:szCs w:val="22"/>
              </w:rPr>
              <w:t xml:space="preserve">льных) учреждениях (bus.gov.ru) </w:t>
            </w:r>
            <w:r w:rsidR="00D90F03" w:rsidRPr="00E75ED8">
              <w:rPr>
                <w:b w:val="0"/>
                <w:sz w:val="22"/>
                <w:szCs w:val="22"/>
              </w:rPr>
              <w:t>бюджетную смету на очередной финансовый год и на плановый период, отчеты о результатах деятельности и об использовании закрепленного за ними имущества за отчетный год, баланс учреждения за отчетный год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-Доля казенных учреждений, опубликовавших на официальном сайте РФ для размещения информации о государственных (муниципальных) учреждениях (bus.gov.ru) бюджетную смету на очередной финансовый год и на плановый период, отчеты о результатах деятельности и об использовании закрепленного за ними имущества за отчетный год, баланс учреждения за отчетный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Своевременность и полнота размещения информации</w:t>
            </w:r>
          </w:p>
        </w:tc>
      </w:tr>
      <w:tr w:rsidR="00D90F03" w:rsidRPr="00E75ED8" w:rsidTr="00580C9A">
        <w:trPr>
          <w:trHeight w:val="550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в срок и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</w:tcBorders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614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в срок, но не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650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</w:t>
            </w:r>
            <w:r w:rsidR="00D90F03">
              <w:rPr>
                <w:b w:val="0"/>
                <w:sz w:val="22"/>
                <w:szCs w:val="22"/>
              </w:rPr>
              <w:t xml:space="preserve">я размещена с нарушением сроков, но в </w:t>
            </w:r>
            <w:r w:rsidR="00D90F03" w:rsidRPr="00E75ED8">
              <w:rPr>
                <w:b w:val="0"/>
                <w:sz w:val="22"/>
                <w:szCs w:val="22"/>
              </w:rPr>
              <w:t>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A43B77">
        <w:trPr>
          <w:trHeight w:val="974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Информация размещена с нарушением сроков и не в полном объеме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580C9A">
        <w:trPr>
          <w:trHeight w:val="70"/>
        </w:trPr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numPr>
                <w:ilvl w:val="0"/>
                <w:numId w:val="5"/>
              </w:numPr>
              <w:spacing w:line="240" w:lineRule="atLeast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размещения муниципальных закупок</w:t>
            </w: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2491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-выполнение плана при осуществлении закупок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D90F03" w:rsidRPr="00E75ED8">
              <w:rPr>
                <w:b w:val="0"/>
                <w:sz w:val="22"/>
                <w:szCs w:val="22"/>
              </w:rPr>
              <w:t>, где: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-количество за</w:t>
            </w:r>
            <w:r w:rsidR="00D90F03">
              <w:rPr>
                <w:b w:val="0"/>
                <w:sz w:val="22"/>
                <w:szCs w:val="22"/>
              </w:rPr>
              <w:t>купок, размещенных вне плана,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-количество процедур, размещенных с наруш</w:t>
            </w:r>
            <w:r w:rsidR="00D90F03">
              <w:rPr>
                <w:b w:val="0"/>
                <w:sz w:val="22"/>
                <w:szCs w:val="22"/>
              </w:rPr>
              <w:t>ением запланированного срока,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-количество запланированны</w:t>
            </w:r>
            <w:r w:rsidR="00D90F03">
              <w:rPr>
                <w:b w:val="0"/>
                <w:sz w:val="22"/>
                <w:szCs w:val="22"/>
              </w:rPr>
              <w:t>х, но не размещенных закупок,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-общее количество закупок для нужд ГРБС и подведомственных учреждений (при наличии) в соответствии с </w:t>
            </w:r>
            <w:r w:rsidR="00D90F03">
              <w:rPr>
                <w:b w:val="0"/>
                <w:sz w:val="22"/>
                <w:szCs w:val="22"/>
              </w:rPr>
              <w:t>утвержденным планом-графиком, шт.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Данные предоставляются ГРБС и Ревизионной комиссией Бобровского муниципального района 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Наличие установленных случаев невыполнения плана при размещении закупок свидетельствует о нарушении законодательства о контрактной системе.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 доля контрактов, сведения о которых были несвоевременно поданы на единый общероссийский сайт в сети Интернет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D90F03" w:rsidRPr="00E75ED8">
              <w:rPr>
                <w:b w:val="0"/>
                <w:sz w:val="22"/>
                <w:szCs w:val="22"/>
              </w:rPr>
              <w:t>, где: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-количество контрактов, сведения о заключении которых были несвоевременно нап</w:t>
            </w:r>
            <w:r w:rsidR="00D90F03">
              <w:rPr>
                <w:b w:val="0"/>
                <w:sz w:val="22"/>
                <w:szCs w:val="22"/>
              </w:rPr>
              <w:t>равлены в реестр контрактов,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-количество контрактов (договоров), сведения об изменении которых были несвоевременно направлены в реестр </w:t>
            </w:r>
            <w:r w:rsidR="00D90F03">
              <w:rPr>
                <w:b w:val="0"/>
                <w:sz w:val="22"/>
                <w:szCs w:val="22"/>
              </w:rPr>
              <w:t>контрактов,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-количество контрактов, сведения об исполнении которых были несвоевременно нап</w:t>
            </w:r>
            <w:r w:rsidR="00D90F03">
              <w:rPr>
                <w:b w:val="0"/>
                <w:sz w:val="22"/>
                <w:szCs w:val="22"/>
              </w:rPr>
              <w:t>равлены в реестр контрактов,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 xml:space="preserve">-общее количество контрактов, сведения о расторжении которых были несвоевременно </w:t>
            </w:r>
            <w:r w:rsidR="00D90F03">
              <w:rPr>
                <w:b w:val="0"/>
                <w:sz w:val="22"/>
                <w:szCs w:val="22"/>
              </w:rPr>
              <w:t>направлены в реестр контрактов, шт.</w:t>
            </w:r>
            <w:r w:rsidR="00D90F03" w:rsidRPr="00E75ED8">
              <w:rPr>
                <w:b w:val="0"/>
                <w:sz w:val="22"/>
                <w:szCs w:val="22"/>
              </w:rPr>
              <w:t>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-общее количество контрактов, заключе</w:t>
            </w:r>
            <w:r w:rsidR="00D90F03">
              <w:rPr>
                <w:b w:val="0"/>
                <w:sz w:val="22"/>
                <w:szCs w:val="22"/>
              </w:rPr>
              <w:t>нных ГРБС и его учреждениями, шт.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Наличие установленных случаев несвоевременного направления сведений в реестр контрактов.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2792"/>
        </w:trPr>
        <w:tc>
          <w:tcPr>
            <w:tcW w:w="2410" w:type="dxa"/>
            <w:vMerge w:val="restart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7.3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-доля контрактов, в отношении которых контрольным органом в сфере закупок установлены признаки нарушения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нар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, где: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нар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>
              <w:rPr>
                <w:b w:val="0"/>
                <w:sz w:val="22"/>
                <w:szCs w:val="22"/>
              </w:rPr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количество контрактов, в отношении которых контрольным органом в сфере закупок установлены признаки нарушения законодательства Российской Федерации и иных нормативных правовых актов о контрактной системе в сфере закупок шт.;</w:t>
            </w:r>
          </w:p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D90F03" w:rsidRPr="00E75ED8">
              <w:rPr>
                <w:b w:val="0"/>
                <w:sz w:val="22"/>
                <w:szCs w:val="22"/>
              </w:rPr>
              <w:t>-</w:t>
            </w:r>
            <w:r w:rsidR="00D90F03">
              <w:rPr>
                <w:b w:val="0"/>
                <w:sz w:val="22"/>
                <w:szCs w:val="22"/>
              </w:rPr>
              <w:t xml:space="preserve"> </w:t>
            </w:r>
            <w:r w:rsidR="00D90F03" w:rsidRPr="00E75ED8">
              <w:rPr>
                <w:b w:val="0"/>
                <w:sz w:val="22"/>
                <w:szCs w:val="22"/>
              </w:rPr>
              <w:t>общее количество контрактов, заключенных ГРБС и его учреждениями, шт.</w:t>
            </w:r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Наличие контрактов, в отношении которых контрольным органом в сфере закупок установлены признаки нарушения законодательства РФ и иных нормативных правовых актов о контрактной системе в сфере закупок.</w:t>
            </w:r>
          </w:p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rPr>
          <w:trHeight w:val="161"/>
        </w:trPr>
        <w:tc>
          <w:tcPr>
            <w:tcW w:w="2410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0F03" w:rsidRPr="00E75ED8" w:rsidRDefault="009135C3" w:rsidP="00D90F03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1276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90F03" w:rsidRPr="00E75ED8" w:rsidTr="00BB1B07">
        <w:tc>
          <w:tcPr>
            <w:tcW w:w="8647" w:type="dxa"/>
            <w:gridSpan w:val="3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701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D90F03" w:rsidRPr="00E75ED8" w:rsidRDefault="00D90F03" w:rsidP="00D90F03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F92BCC" w:rsidRPr="00F92BCC" w:rsidRDefault="00F92BCC" w:rsidP="00F92BCC"/>
    <w:p w:rsidR="00CA223F" w:rsidRDefault="00CA223F" w:rsidP="008F29B1">
      <w:pPr>
        <w:pStyle w:val="1"/>
        <w:ind w:left="4496"/>
        <w:jc w:val="both"/>
        <w:rPr>
          <w:b w:val="0"/>
          <w:color w:val="000000" w:themeColor="text1"/>
          <w:sz w:val="22"/>
          <w:szCs w:val="22"/>
        </w:rPr>
      </w:pPr>
    </w:p>
    <w:p w:rsidR="007916AF" w:rsidRDefault="007916AF" w:rsidP="007916A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</w:p>
    <w:p w:rsidR="007916AF" w:rsidRDefault="007916AF" w:rsidP="007916A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</w:p>
    <w:p w:rsidR="007916AF" w:rsidRDefault="007916AF" w:rsidP="007916A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</w:p>
    <w:p w:rsidR="007916AF" w:rsidRDefault="007916AF" w:rsidP="007916A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Приложение 2</w:t>
      </w:r>
    </w:p>
    <w:p w:rsidR="007916AF" w:rsidRDefault="007916AF" w:rsidP="007916A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Поряд</w:t>
      </w:r>
      <w:r w:rsidRPr="0009774C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у </w:t>
      </w:r>
      <w:r w:rsidRPr="0009774C">
        <w:rPr>
          <w:b w:val="0"/>
          <w:sz w:val="22"/>
          <w:szCs w:val="22"/>
        </w:rPr>
        <w:t xml:space="preserve">проведения мониторинга </w:t>
      </w:r>
    </w:p>
    <w:p w:rsidR="007916AF" w:rsidRDefault="007916AF" w:rsidP="007916A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sz w:val="22"/>
          <w:szCs w:val="22"/>
        </w:rPr>
        <w:t>качества финансового менеджмента</w:t>
      </w:r>
    </w:p>
    <w:p w:rsidR="007916AF" w:rsidRPr="00F92BCC" w:rsidRDefault="007916AF" w:rsidP="007916AF"/>
    <w:p w:rsidR="007916AF" w:rsidRPr="00780252" w:rsidRDefault="007916AF" w:rsidP="007916AF">
      <w:pPr>
        <w:jc w:val="center"/>
        <w:rPr>
          <w:b/>
        </w:rPr>
      </w:pPr>
      <w:r w:rsidRPr="00780252">
        <w:rPr>
          <w:b/>
        </w:rPr>
        <w:t>Результаты анализа качества финансового менеджмента по уровню оценок, полученных ГРБС по каждому показателю</w:t>
      </w:r>
    </w:p>
    <w:p w:rsidR="007916AF" w:rsidRPr="00F92BCC" w:rsidRDefault="007916AF" w:rsidP="007916AF"/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238"/>
        <w:gridCol w:w="5566"/>
        <w:gridCol w:w="1418"/>
        <w:gridCol w:w="2410"/>
        <w:gridCol w:w="2126"/>
        <w:gridCol w:w="1922"/>
      </w:tblGrid>
      <w:tr w:rsidR="007916AF" w:rsidTr="007916AF">
        <w:tc>
          <w:tcPr>
            <w:tcW w:w="1238" w:type="dxa"/>
            <w:vAlign w:val="center"/>
          </w:tcPr>
          <w:p w:rsidR="007916AF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показателя</w:t>
            </w:r>
          </w:p>
        </w:tc>
        <w:tc>
          <w:tcPr>
            <w:tcW w:w="5566" w:type="dxa"/>
            <w:vAlign w:val="center"/>
          </w:tcPr>
          <w:p w:rsidR="007916AF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916AF" w:rsidRPr="0009774C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Средняя оценка по показателю</w:t>
            </w:r>
          </w:p>
        </w:tc>
        <w:tc>
          <w:tcPr>
            <w:tcW w:w="2410" w:type="dxa"/>
            <w:vAlign w:val="center"/>
          </w:tcPr>
          <w:p w:rsidR="007916AF" w:rsidRPr="0009774C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получившие неудовлетворительную оценку по показателю</w:t>
            </w:r>
          </w:p>
        </w:tc>
        <w:tc>
          <w:tcPr>
            <w:tcW w:w="2126" w:type="dxa"/>
            <w:vAlign w:val="center"/>
          </w:tcPr>
          <w:p w:rsidR="007916AF" w:rsidRPr="0009774C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получившие лучшую оценку по показателю</w:t>
            </w:r>
          </w:p>
        </w:tc>
        <w:tc>
          <w:tcPr>
            <w:tcW w:w="1922" w:type="dxa"/>
            <w:vAlign w:val="center"/>
          </w:tcPr>
          <w:p w:rsidR="007916AF" w:rsidRDefault="007916AF" w:rsidP="007916AF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к которым показатель не применим</w:t>
            </w:r>
          </w:p>
        </w:tc>
      </w:tr>
      <w:tr w:rsidR="007916AF" w:rsidTr="007916AF">
        <w:tc>
          <w:tcPr>
            <w:tcW w:w="123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6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планирования и управления расходами бюджета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Pr="004932E1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Доля суммы изменений в сводную бюджетную роспись</w:t>
            </w:r>
          </w:p>
        </w:tc>
        <w:tc>
          <w:tcPr>
            <w:tcW w:w="1418" w:type="dxa"/>
          </w:tcPr>
          <w:p w:rsidR="007916AF" w:rsidRPr="004932E1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1418" w:type="dxa"/>
          </w:tcPr>
          <w:p w:rsidR="007916AF" w:rsidRPr="005B2242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Равномерность осуществления </w:t>
            </w:r>
            <w:r w:rsidRPr="006058BB">
              <w:rPr>
                <w:b w:val="0"/>
                <w:sz w:val="22"/>
                <w:szCs w:val="22"/>
              </w:rPr>
              <w:t>расходов</w:t>
            </w:r>
          </w:p>
        </w:tc>
        <w:tc>
          <w:tcPr>
            <w:tcW w:w="1418" w:type="dxa"/>
          </w:tcPr>
          <w:p w:rsidR="007916AF" w:rsidRPr="006058BB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Pr="006058BB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Pr="006058BB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rPr>
          <w:trHeight w:val="684"/>
        </w:trPr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18" w:type="dxa"/>
          </w:tcPr>
          <w:p w:rsidR="007916AF" w:rsidRPr="00EB263D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rPr>
          <w:trHeight w:val="866"/>
        </w:trPr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Pr="00E16D46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E16D46">
              <w:rPr>
                <w:b w:val="0"/>
                <w:sz w:val="22"/>
                <w:szCs w:val="22"/>
              </w:rPr>
              <w:t>аличие</w:t>
            </w:r>
            <w:r>
              <w:rPr>
                <w:b w:val="0"/>
                <w:sz w:val="22"/>
                <w:szCs w:val="22"/>
              </w:rPr>
              <w:t xml:space="preserve"> нарушений </w:t>
            </w:r>
            <w:r w:rsidRPr="00E16D46">
              <w:rPr>
                <w:b w:val="0"/>
                <w:sz w:val="22"/>
                <w:szCs w:val="22"/>
              </w:rPr>
              <w:t>Бюджетного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16D46">
              <w:rPr>
                <w:b w:val="0"/>
                <w:sz w:val="22"/>
                <w:szCs w:val="22"/>
              </w:rPr>
              <w:t>законодательства,</w:t>
            </w:r>
          </w:p>
          <w:p w:rsidR="007916AF" w:rsidRPr="00022D34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E16D46">
              <w:rPr>
                <w:b w:val="0"/>
                <w:sz w:val="22"/>
                <w:szCs w:val="22"/>
              </w:rPr>
              <w:t>выявленных в ходе</w:t>
            </w:r>
            <w:r>
              <w:rPr>
                <w:b w:val="0"/>
                <w:sz w:val="22"/>
                <w:szCs w:val="22"/>
              </w:rPr>
              <w:t xml:space="preserve"> проведения внешних</w:t>
            </w:r>
            <w:r w:rsidR="001C103D">
              <w:rPr>
                <w:b w:val="0"/>
                <w:sz w:val="22"/>
                <w:szCs w:val="22"/>
              </w:rPr>
              <w:t xml:space="preserve"> 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16D46">
              <w:rPr>
                <w:b w:val="0"/>
                <w:sz w:val="22"/>
                <w:szCs w:val="22"/>
              </w:rPr>
              <w:t>внутренних</w:t>
            </w:r>
            <w:r>
              <w:rPr>
                <w:b w:val="0"/>
                <w:sz w:val="22"/>
                <w:szCs w:val="22"/>
              </w:rPr>
              <w:t xml:space="preserve"> контрольных </w:t>
            </w:r>
            <w:r w:rsidRPr="00E16D46">
              <w:rPr>
                <w:b w:val="0"/>
                <w:sz w:val="22"/>
                <w:szCs w:val="22"/>
              </w:rPr>
              <w:t>мероприятий в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16D46">
              <w:rPr>
                <w:b w:val="0"/>
                <w:sz w:val="22"/>
                <w:szCs w:val="22"/>
              </w:rPr>
              <w:t>отчетном финансовом</w:t>
            </w:r>
            <w:r>
              <w:rPr>
                <w:b w:val="0"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7916AF" w:rsidRPr="00E16D46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управления доходами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Отношение показателей уточненного плана по доходам к показателям первоначального плана</w:t>
            </w:r>
            <w:r w:rsidR="00B57EEE">
              <w:rPr>
                <w:b w:val="0"/>
                <w:sz w:val="22"/>
                <w:szCs w:val="22"/>
              </w:rPr>
              <w:t xml:space="preserve"> </w:t>
            </w:r>
            <w:r w:rsidR="00B57EEE" w:rsidRPr="00E75ED8">
              <w:rPr>
                <w:b w:val="0"/>
                <w:sz w:val="22"/>
                <w:szCs w:val="22"/>
              </w:rPr>
              <w:t>(без учета безвозмездных поступлений</w:t>
            </w:r>
            <w:r w:rsidR="00B57EEE">
              <w:rPr>
                <w:b w:val="0"/>
                <w:sz w:val="22"/>
                <w:szCs w:val="22"/>
              </w:rPr>
              <w:t>)</w:t>
            </w:r>
          </w:p>
          <w:p w:rsidR="000C2C11" w:rsidRDefault="000C2C11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916AF" w:rsidRPr="00D5196D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Pr="00380314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Pr="005642F0" w:rsidRDefault="007916AF" w:rsidP="000C2C11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Pr="005642F0">
              <w:rPr>
                <w:b w:val="0"/>
                <w:sz w:val="22"/>
                <w:szCs w:val="22"/>
              </w:rPr>
              <w:t xml:space="preserve">емп роста объема доходов (без учета безвозмездных поступлений) к предыдущему </w:t>
            </w:r>
            <w:r>
              <w:rPr>
                <w:b w:val="0"/>
                <w:sz w:val="22"/>
                <w:szCs w:val="22"/>
              </w:rPr>
              <w:t>/ темп роста объема доходов от оказания платных услуг работ) к предыдущему году</w:t>
            </w:r>
          </w:p>
        </w:tc>
        <w:tc>
          <w:tcPr>
            <w:tcW w:w="1418" w:type="dxa"/>
          </w:tcPr>
          <w:p w:rsidR="007916AF" w:rsidRPr="005642F0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916AF" w:rsidRPr="008C2DA4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B57EEE">
        <w:trPr>
          <w:trHeight w:val="949"/>
        </w:trPr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Pr="00E75ED8">
              <w:rPr>
                <w:b w:val="0"/>
                <w:sz w:val="22"/>
                <w:szCs w:val="22"/>
              </w:rPr>
              <w:t xml:space="preserve">зменение дебиторской задолженности </w:t>
            </w:r>
            <w:r>
              <w:rPr>
                <w:b w:val="0"/>
                <w:sz w:val="22"/>
                <w:szCs w:val="22"/>
              </w:rPr>
              <w:t>по доходам в бюджет ГАДБ</w:t>
            </w:r>
            <w:r w:rsidRPr="00E75ED8">
              <w:rPr>
                <w:b w:val="0"/>
                <w:sz w:val="22"/>
                <w:szCs w:val="22"/>
              </w:rPr>
              <w:t xml:space="preserve">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18" w:type="dxa"/>
          </w:tcPr>
          <w:p w:rsidR="007916AF" w:rsidRPr="005642F0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916AF" w:rsidRPr="008C2DA4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ведения учета и составления бюджетной отчетности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Соблюдение ГРБС требований по составу </w:t>
            </w:r>
            <w:r w:rsidRPr="00BC4376">
              <w:rPr>
                <w:b w:val="0"/>
                <w:sz w:val="22"/>
                <w:szCs w:val="22"/>
              </w:rPr>
              <w:t>представления бюджетной отчетности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Выполнение ГР</w:t>
            </w:r>
            <w:r w:rsidRPr="00BC4376">
              <w:rPr>
                <w:b w:val="0"/>
                <w:sz w:val="22"/>
                <w:szCs w:val="22"/>
              </w:rPr>
              <w:t>БС контрольных соотношений между показателями форм бюджетной отчетности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организации и осуществления внутреннего финансового аудита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596A14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BC4376">
              <w:rPr>
                <w:b w:val="0"/>
                <w:sz w:val="22"/>
                <w:szCs w:val="22"/>
              </w:rPr>
              <w:t xml:space="preserve">аличие решения руководителя </w:t>
            </w:r>
            <w:r>
              <w:rPr>
                <w:b w:val="0"/>
                <w:sz w:val="22"/>
                <w:szCs w:val="22"/>
              </w:rPr>
              <w:t>ГРБС</w:t>
            </w:r>
            <w:r w:rsidRPr="00BC4376">
              <w:rPr>
                <w:b w:val="0"/>
                <w:sz w:val="22"/>
                <w:szCs w:val="22"/>
              </w:rPr>
              <w:t xml:space="preserve"> об организации внутреннего финансового аудита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Оценка качества управления активами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Недостачи и хищения муниципальной собственности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Нарушение при управлении и распоряжении муниципальной собственностью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Pr="00D65E58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Pr="00D65E58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18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Pr="00D65E58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5.4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1418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Pr="00D65E58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Pr="00D65E58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 w:rsidRPr="00D65E58">
              <w:rPr>
                <w:b w:val="0"/>
                <w:sz w:val="22"/>
                <w:szCs w:val="22"/>
              </w:rPr>
              <w:t>Открытость бюджетных данных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A473A3">
              <w:rPr>
                <w:b w:val="0"/>
                <w:sz w:val="22"/>
                <w:szCs w:val="22"/>
              </w:rPr>
              <w:t xml:space="preserve">Своевременность и полнота размещения подведомственными учреждениями сведений на сайте </w:t>
            </w:r>
            <w:r>
              <w:rPr>
                <w:b w:val="0"/>
                <w:sz w:val="22"/>
                <w:szCs w:val="22"/>
              </w:rPr>
              <w:t>РФ</w:t>
            </w:r>
            <w:r w:rsidRPr="00A473A3">
              <w:rPr>
                <w:b w:val="0"/>
                <w:sz w:val="22"/>
                <w:szCs w:val="22"/>
              </w:rPr>
              <w:t xml:space="preserve"> для размещения информации о государственных (муниципальных) учреждениях </w:t>
            </w:r>
            <w:r>
              <w:rPr>
                <w:b w:val="0"/>
                <w:sz w:val="22"/>
                <w:szCs w:val="22"/>
              </w:rPr>
              <w:t>(</w:t>
            </w:r>
            <w:r w:rsidRPr="00A473A3">
              <w:rPr>
                <w:b w:val="0"/>
                <w:sz w:val="22"/>
                <w:szCs w:val="22"/>
              </w:rPr>
              <w:t>bu</w:t>
            </w:r>
            <w:r>
              <w:rPr>
                <w:b w:val="0"/>
                <w:sz w:val="22"/>
                <w:szCs w:val="22"/>
              </w:rPr>
              <w:t>s.gov.ru)</w:t>
            </w:r>
            <w:r w:rsidRPr="00A473A3">
              <w:rPr>
                <w:b w:val="0"/>
                <w:sz w:val="22"/>
                <w:szCs w:val="22"/>
              </w:rPr>
              <w:t xml:space="preserve"> в соответствии с порядком, утвержденным Министерством финансов </w:t>
            </w:r>
            <w:r>
              <w:rPr>
                <w:b w:val="0"/>
                <w:sz w:val="22"/>
                <w:szCs w:val="22"/>
              </w:rPr>
              <w:t>РФ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A473A3">
              <w:rPr>
                <w:b w:val="0"/>
                <w:sz w:val="22"/>
                <w:szCs w:val="22"/>
              </w:rPr>
              <w:t>Доля казенных учреждений, опубликовавших на официальном сайте РФ для размещения информации о государственных (муниципальных) учреждениях (bus.gov.ru) бюджетную смету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473A3">
              <w:rPr>
                <w:b w:val="0"/>
                <w:sz w:val="22"/>
                <w:szCs w:val="22"/>
              </w:rPr>
              <w:t>на очередной финансовый год и на плановый период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A473A3">
              <w:rPr>
                <w:b w:val="0"/>
                <w:sz w:val="22"/>
                <w:szCs w:val="22"/>
              </w:rPr>
              <w:t>отчеты о результатах деятельности и об использовании закрепленного за ними имущества за отчетный год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A473A3">
              <w:rPr>
                <w:b w:val="0"/>
                <w:sz w:val="22"/>
                <w:szCs w:val="22"/>
              </w:rPr>
              <w:t>баланс учреждения за отчетный год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4680" w:type="dxa"/>
            <w:gridSpan w:val="6"/>
            <w:vAlign w:val="center"/>
          </w:tcPr>
          <w:p w:rsidR="007916AF" w:rsidRDefault="007916AF" w:rsidP="007916AF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размещения муниципальных закупок</w:t>
            </w: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8B063F">
              <w:rPr>
                <w:b w:val="0"/>
                <w:sz w:val="22"/>
                <w:szCs w:val="22"/>
              </w:rPr>
              <w:t>ыполнение плана при осуществлении закупок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Pr="00003E0E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Pr="00240179" w:rsidRDefault="007916AF" w:rsidP="007916AF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Pr="00D65E58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 w:rsidRPr="00D65E58">
              <w:rPr>
                <w:b w:val="0"/>
                <w:sz w:val="22"/>
                <w:szCs w:val="22"/>
              </w:rPr>
              <w:t>Доля контрактов, сведения о которых были несвоевременно поданы на единый общероссийский сайт в сети Интернет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916AF" w:rsidTr="007916AF">
        <w:tc>
          <w:tcPr>
            <w:tcW w:w="1238" w:type="dxa"/>
          </w:tcPr>
          <w:p w:rsidR="007916AF" w:rsidRDefault="009135C3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916AF" w:rsidRDefault="007916AF" w:rsidP="001C103D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Pr="009F0FD0">
              <w:rPr>
                <w:b w:val="0"/>
                <w:sz w:val="22"/>
                <w:szCs w:val="22"/>
              </w:rPr>
              <w:t xml:space="preserve">оля контрактов, в отношении которых контрольным органом в сфере закупок установлены признаки нарушения законодательства </w:t>
            </w:r>
            <w:r>
              <w:rPr>
                <w:b w:val="0"/>
                <w:sz w:val="22"/>
                <w:szCs w:val="22"/>
              </w:rPr>
              <w:t>РФ</w:t>
            </w:r>
            <w:r w:rsidRPr="009F0FD0">
              <w:rPr>
                <w:b w:val="0"/>
                <w:sz w:val="22"/>
                <w:szCs w:val="22"/>
              </w:rPr>
              <w:t xml:space="preserve"> и иных нормативных правовых актов о контрактной системе в сфере закупок</w:t>
            </w:r>
          </w:p>
        </w:tc>
        <w:tc>
          <w:tcPr>
            <w:tcW w:w="1418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916AF" w:rsidRDefault="007916AF" w:rsidP="007916A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7916AF" w:rsidRDefault="007916AF" w:rsidP="008F29B1">
      <w:pPr>
        <w:pStyle w:val="1"/>
        <w:ind w:left="4496"/>
        <w:jc w:val="both"/>
        <w:rPr>
          <w:b w:val="0"/>
          <w:color w:val="000000" w:themeColor="text1"/>
          <w:sz w:val="22"/>
          <w:szCs w:val="22"/>
        </w:rPr>
      </w:pPr>
    </w:p>
    <w:sectPr w:rsidR="007916AF" w:rsidSect="004C474C">
      <w:pgSz w:w="16840" w:h="11910" w:orient="landscape"/>
      <w:pgMar w:top="1418" w:right="1134" w:bottom="45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95" w:rsidRDefault="00B85295" w:rsidP="005C5929">
      <w:r>
        <w:separator/>
      </w:r>
    </w:p>
  </w:endnote>
  <w:endnote w:type="continuationSeparator" w:id="0">
    <w:p w:rsidR="00B85295" w:rsidRDefault="00B85295" w:rsidP="005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95" w:rsidRDefault="00B85295" w:rsidP="005C5929">
      <w:r>
        <w:separator/>
      </w:r>
    </w:p>
  </w:footnote>
  <w:footnote w:type="continuationSeparator" w:id="0">
    <w:p w:rsidR="00B85295" w:rsidRDefault="00B85295" w:rsidP="005C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9A4"/>
    <w:multiLevelType w:val="hybridMultilevel"/>
    <w:tmpl w:val="B1A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CE8"/>
    <w:multiLevelType w:val="hybridMultilevel"/>
    <w:tmpl w:val="B1A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E62"/>
    <w:multiLevelType w:val="hybridMultilevel"/>
    <w:tmpl w:val="96608992"/>
    <w:lvl w:ilvl="0" w:tplc="10AE4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2148"/>
    <w:multiLevelType w:val="hybridMultilevel"/>
    <w:tmpl w:val="50E8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516"/>
    <w:multiLevelType w:val="multilevel"/>
    <w:tmpl w:val="0736DDC4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1B621DD"/>
    <w:multiLevelType w:val="hybridMultilevel"/>
    <w:tmpl w:val="5B70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31A4"/>
    <w:rsid w:val="00003E0E"/>
    <w:rsid w:val="00022D34"/>
    <w:rsid w:val="00027199"/>
    <w:rsid w:val="00044342"/>
    <w:rsid w:val="0009774C"/>
    <w:rsid w:val="000B0A30"/>
    <w:rsid w:val="000C2C11"/>
    <w:rsid w:val="000C74CD"/>
    <w:rsid w:val="000C7ADA"/>
    <w:rsid w:val="000F169A"/>
    <w:rsid w:val="00110692"/>
    <w:rsid w:val="001150AB"/>
    <w:rsid w:val="001265FF"/>
    <w:rsid w:val="0012781D"/>
    <w:rsid w:val="0015249A"/>
    <w:rsid w:val="00180926"/>
    <w:rsid w:val="00197646"/>
    <w:rsid w:val="001A6994"/>
    <w:rsid w:val="001C103D"/>
    <w:rsid w:val="001C4BF8"/>
    <w:rsid w:val="001D22BD"/>
    <w:rsid w:val="001D2812"/>
    <w:rsid w:val="001D2E16"/>
    <w:rsid w:val="001E0ECC"/>
    <w:rsid w:val="001E6F63"/>
    <w:rsid w:val="00213F82"/>
    <w:rsid w:val="00230478"/>
    <w:rsid w:val="00240179"/>
    <w:rsid w:val="00256795"/>
    <w:rsid w:val="00257783"/>
    <w:rsid w:val="00285D86"/>
    <w:rsid w:val="002C2065"/>
    <w:rsid w:val="002C36D6"/>
    <w:rsid w:val="002C6EA6"/>
    <w:rsid w:val="002D5EED"/>
    <w:rsid w:val="002E6CFF"/>
    <w:rsid w:val="002F1DA2"/>
    <w:rsid w:val="002F35E7"/>
    <w:rsid w:val="002F42CC"/>
    <w:rsid w:val="002F7701"/>
    <w:rsid w:val="00300899"/>
    <w:rsid w:val="0032250E"/>
    <w:rsid w:val="00331428"/>
    <w:rsid w:val="003343F9"/>
    <w:rsid w:val="003427FD"/>
    <w:rsid w:val="00343700"/>
    <w:rsid w:val="00364246"/>
    <w:rsid w:val="003774F3"/>
    <w:rsid w:val="00380314"/>
    <w:rsid w:val="00384ECF"/>
    <w:rsid w:val="00393FCA"/>
    <w:rsid w:val="003C6020"/>
    <w:rsid w:val="003E2680"/>
    <w:rsid w:val="003E6E6E"/>
    <w:rsid w:val="003F3E99"/>
    <w:rsid w:val="003F70E1"/>
    <w:rsid w:val="0041062E"/>
    <w:rsid w:val="0041180D"/>
    <w:rsid w:val="00416F74"/>
    <w:rsid w:val="00421FD5"/>
    <w:rsid w:val="004603DD"/>
    <w:rsid w:val="0046223D"/>
    <w:rsid w:val="004835CE"/>
    <w:rsid w:val="004932E1"/>
    <w:rsid w:val="004A403B"/>
    <w:rsid w:val="004A74DB"/>
    <w:rsid w:val="004C474C"/>
    <w:rsid w:val="004F73AF"/>
    <w:rsid w:val="00502400"/>
    <w:rsid w:val="005104C1"/>
    <w:rsid w:val="00516C73"/>
    <w:rsid w:val="0055689B"/>
    <w:rsid w:val="005642F0"/>
    <w:rsid w:val="00573A59"/>
    <w:rsid w:val="00574796"/>
    <w:rsid w:val="00575BA2"/>
    <w:rsid w:val="00580C9A"/>
    <w:rsid w:val="00596A14"/>
    <w:rsid w:val="00597470"/>
    <w:rsid w:val="005A465C"/>
    <w:rsid w:val="005B2242"/>
    <w:rsid w:val="005C5929"/>
    <w:rsid w:val="005E29EB"/>
    <w:rsid w:val="005F0EB1"/>
    <w:rsid w:val="005F5226"/>
    <w:rsid w:val="006058BB"/>
    <w:rsid w:val="00655E3C"/>
    <w:rsid w:val="006631A4"/>
    <w:rsid w:val="0067378D"/>
    <w:rsid w:val="00677BCD"/>
    <w:rsid w:val="00681C9D"/>
    <w:rsid w:val="0069727F"/>
    <w:rsid w:val="006D7FE3"/>
    <w:rsid w:val="006F13EB"/>
    <w:rsid w:val="00735616"/>
    <w:rsid w:val="0076089C"/>
    <w:rsid w:val="00780252"/>
    <w:rsid w:val="007916AF"/>
    <w:rsid w:val="007974E8"/>
    <w:rsid w:val="007A522B"/>
    <w:rsid w:val="007A5484"/>
    <w:rsid w:val="007A6990"/>
    <w:rsid w:val="007C3B52"/>
    <w:rsid w:val="007F6CB7"/>
    <w:rsid w:val="00814E5B"/>
    <w:rsid w:val="008342E1"/>
    <w:rsid w:val="00852963"/>
    <w:rsid w:val="00875E11"/>
    <w:rsid w:val="00877161"/>
    <w:rsid w:val="00882151"/>
    <w:rsid w:val="00892C72"/>
    <w:rsid w:val="0089324B"/>
    <w:rsid w:val="008B063F"/>
    <w:rsid w:val="008B411F"/>
    <w:rsid w:val="008C2DA4"/>
    <w:rsid w:val="008D1468"/>
    <w:rsid w:val="008F13E7"/>
    <w:rsid w:val="008F29B1"/>
    <w:rsid w:val="008F6749"/>
    <w:rsid w:val="00902BCC"/>
    <w:rsid w:val="00902C51"/>
    <w:rsid w:val="00910091"/>
    <w:rsid w:val="009135C3"/>
    <w:rsid w:val="00932159"/>
    <w:rsid w:val="009515E2"/>
    <w:rsid w:val="00957C7B"/>
    <w:rsid w:val="0096648C"/>
    <w:rsid w:val="009852FF"/>
    <w:rsid w:val="009A0C40"/>
    <w:rsid w:val="009A18DF"/>
    <w:rsid w:val="009A403D"/>
    <w:rsid w:val="009B1F45"/>
    <w:rsid w:val="009B6940"/>
    <w:rsid w:val="009C0AE5"/>
    <w:rsid w:val="009D0B8D"/>
    <w:rsid w:val="009D1CEB"/>
    <w:rsid w:val="009D3B3E"/>
    <w:rsid w:val="009F0FD0"/>
    <w:rsid w:val="009F1A1B"/>
    <w:rsid w:val="00A17474"/>
    <w:rsid w:val="00A4178F"/>
    <w:rsid w:val="00A43B77"/>
    <w:rsid w:val="00A473A3"/>
    <w:rsid w:val="00A5462F"/>
    <w:rsid w:val="00A81E31"/>
    <w:rsid w:val="00A90DE5"/>
    <w:rsid w:val="00AA7991"/>
    <w:rsid w:val="00AC4256"/>
    <w:rsid w:val="00AC6B21"/>
    <w:rsid w:val="00AE12DA"/>
    <w:rsid w:val="00B11603"/>
    <w:rsid w:val="00B13000"/>
    <w:rsid w:val="00B216C3"/>
    <w:rsid w:val="00B21952"/>
    <w:rsid w:val="00B441F2"/>
    <w:rsid w:val="00B44876"/>
    <w:rsid w:val="00B527D1"/>
    <w:rsid w:val="00B57EEE"/>
    <w:rsid w:val="00B81D4B"/>
    <w:rsid w:val="00B85295"/>
    <w:rsid w:val="00BA49C3"/>
    <w:rsid w:val="00BB1B07"/>
    <w:rsid w:val="00BC1A30"/>
    <w:rsid w:val="00BC4376"/>
    <w:rsid w:val="00BF399F"/>
    <w:rsid w:val="00C01A5C"/>
    <w:rsid w:val="00C02AC2"/>
    <w:rsid w:val="00C052A8"/>
    <w:rsid w:val="00C05A27"/>
    <w:rsid w:val="00C22329"/>
    <w:rsid w:val="00C62774"/>
    <w:rsid w:val="00C75C2D"/>
    <w:rsid w:val="00C75FAE"/>
    <w:rsid w:val="00C80D22"/>
    <w:rsid w:val="00C86A85"/>
    <w:rsid w:val="00C86D51"/>
    <w:rsid w:val="00C95BA4"/>
    <w:rsid w:val="00CA223F"/>
    <w:rsid w:val="00CA574C"/>
    <w:rsid w:val="00CC0934"/>
    <w:rsid w:val="00CD25CB"/>
    <w:rsid w:val="00CF4258"/>
    <w:rsid w:val="00CF7EA3"/>
    <w:rsid w:val="00D14583"/>
    <w:rsid w:val="00D3251C"/>
    <w:rsid w:val="00D50927"/>
    <w:rsid w:val="00D5196D"/>
    <w:rsid w:val="00D611C6"/>
    <w:rsid w:val="00D61965"/>
    <w:rsid w:val="00D65E58"/>
    <w:rsid w:val="00D66599"/>
    <w:rsid w:val="00D72879"/>
    <w:rsid w:val="00D80F8F"/>
    <w:rsid w:val="00D879AF"/>
    <w:rsid w:val="00D90F03"/>
    <w:rsid w:val="00D94F0A"/>
    <w:rsid w:val="00DC514A"/>
    <w:rsid w:val="00DE106C"/>
    <w:rsid w:val="00E16D46"/>
    <w:rsid w:val="00E279B0"/>
    <w:rsid w:val="00E42D9F"/>
    <w:rsid w:val="00E67686"/>
    <w:rsid w:val="00E742CF"/>
    <w:rsid w:val="00E75ED8"/>
    <w:rsid w:val="00E77483"/>
    <w:rsid w:val="00E84C19"/>
    <w:rsid w:val="00E93BC5"/>
    <w:rsid w:val="00E9647F"/>
    <w:rsid w:val="00EB1960"/>
    <w:rsid w:val="00EB263D"/>
    <w:rsid w:val="00EB7690"/>
    <w:rsid w:val="00EC2DF9"/>
    <w:rsid w:val="00EF1432"/>
    <w:rsid w:val="00EF4D79"/>
    <w:rsid w:val="00F05206"/>
    <w:rsid w:val="00F36E51"/>
    <w:rsid w:val="00F45CA6"/>
    <w:rsid w:val="00F502CB"/>
    <w:rsid w:val="00F53BB0"/>
    <w:rsid w:val="00F55505"/>
    <w:rsid w:val="00F63C94"/>
    <w:rsid w:val="00F668AE"/>
    <w:rsid w:val="00F67096"/>
    <w:rsid w:val="00F84325"/>
    <w:rsid w:val="00F9285A"/>
    <w:rsid w:val="00F92BCC"/>
    <w:rsid w:val="00F951E0"/>
    <w:rsid w:val="00FE116A"/>
    <w:rsid w:val="00FE18C0"/>
    <w:rsid w:val="00FE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362F-EFB7-465E-9DB9-5A774C6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8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68AE"/>
    <w:pPr>
      <w:ind w:lef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8AE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68AE"/>
    <w:pPr>
      <w:spacing w:before="2"/>
      <w:ind w:left="128" w:right="46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68AE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68AE"/>
  </w:style>
  <w:style w:type="paragraph" w:styleId="a6">
    <w:name w:val="Balloon Text"/>
    <w:basedOn w:val="a"/>
    <w:link w:val="a7"/>
    <w:uiPriority w:val="99"/>
    <w:semiHidden/>
    <w:unhideWhenUsed/>
    <w:rsid w:val="00C05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WW8Num1z1">
    <w:name w:val="WW8Num1z1"/>
    <w:rsid w:val="00110692"/>
  </w:style>
  <w:style w:type="paragraph" w:styleId="a8">
    <w:name w:val="header"/>
    <w:basedOn w:val="a"/>
    <w:link w:val="a9"/>
    <w:uiPriority w:val="99"/>
    <w:unhideWhenUsed/>
    <w:rsid w:val="005C59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59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C59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5929"/>
    <w:rPr>
      <w:rFonts w:ascii="Times New Roman" w:eastAsia="Times New Roman" w:hAnsi="Times New Roman" w:cs="Times New Roman"/>
      <w:lang w:val="ru-RU"/>
    </w:rPr>
  </w:style>
  <w:style w:type="character" w:styleId="ac">
    <w:name w:val="Placeholder Text"/>
    <w:basedOn w:val="a0"/>
    <w:uiPriority w:val="99"/>
    <w:semiHidden/>
    <w:rsid w:val="00516C73"/>
    <w:rPr>
      <w:color w:val="808080"/>
    </w:rPr>
  </w:style>
  <w:style w:type="table" w:styleId="ad">
    <w:name w:val="Table Grid"/>
    <w:basedOn w:val="a1"/>
    <w:uiPriority w:val="59"/>
    <w:rsid w:val="0009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96D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EA96-79F2-45A9-ABFD-54D33FC1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14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150</cp:revision>
  <cp:lastPrinted>2024-04-26T10:59:00Z</cp:lastPrinted>
  <dcterms:created xsi:type="dcterms:W3CDTF">2021-12-05T19:29:00Z</dcterms:created>
  <dcterms:modified xsi:type="dcterms:W3CDTF">2024-04-26T11:02:00Z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2021-12-05T00:00:00Z</vt:filetime>
  </property>
</Properties>
</file>