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 xml:space="preserve">Методические рекомендации повопросам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редставлениясведений о доходах</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пунктах2–5 раздела1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статьи1 Федерального закона № 273-ФЗ)</w:t>
      </w:r>
      <w:r w:rsidR="00B05E8E" w:rsidRPr="00D26593">
        <w:rPr>
          <w:rFonts w:cs="Times New Roman"/>
          <w:szCs w:val="28"/>
        </w:rPr>
        <w:t>.</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706092" w:rsidRPr="00D26593">
        <w:rPr>
          <w:rFonts w:cs="Times New Roman"/>
          <w:szCs w:val="28"/>
        </w:rPr>
        <w:t>Вместе с тем</w:t>
      </w:r>
      <w:r w:rsidR="00356F57" w:rsidRPr="00D26593">
        <w:rPr>
          <w:rFonts w:cs="Times New Roman"/>
          <w:szCs w:val="28"/>
        </w:rPr>
        <w:t>,</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части1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Согласно части4.2 статьи12.1 Федерального закона № 273-ФЗесли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7265FB" w:rsidRPr="00D26593">
        <w:rPr>
          <w:rFonts w:cs="Times New Roman"/>
          <w:szCs w:val="28"/>
        </w:rPr>
        <w:t>являясьособой</w:t>
      </w:r>
      <w:r w:rsidR="003D58C2" w:rsidRPr="00D26593">
        <w:rPr>
          <w:rFonts w:cs="Times New Roman"/>
          <w:szCs w:val="28"/>
        </w:rPr>
        <w:t xml:space="preserve"> процедур</w:t>
      </w:r>
      <w:r w:rsidR="00C6597D" w:rsidRPr="00D26593">
        <w:rPr>
          <w:rFonts w:cs="Times New Roman"/>
          <w:szCs w:val="28"/>
        </w:rPr>
        <w:t>ой</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(часть4.4 статьи12.1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часть7.2 статьи40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39040A" w:rsidRPr="00D26593">
        <w:rPr>
          <w:rFonts w:cs="Times New Roman"/>
          <w:szCs w:val="28"/>
        </w:rPr>
        <w:t xml:space="preserve">могут быть выявлены </w:t>
      </w:r>
      <w:r w:rsidR="004C347F" w:rsidRPr="00D26593">
        <w:rPr>
          <w:rFonts w:cs="Times New Roman"/>
          <w:szCs w:val="28"/>
        </w:rPr>
        <w:t>не только</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части7.3 статьи40 Федерального закона № 131-ФЗ и части4.5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 xml:space="preserve">Частью4.3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C5523C" w:rsidRPr="00D26593">
        <w:rPr>
          <w:rFonts w:cs="Times New Roman"/>
          <w:szCs w:val="28"/>
        </w:rPr>
        <w:t>самостоятельно утверждает</w:t>
      </w:r>
      <w:r w:rsidR="005F2E6A" w:rsidRPr="00D26593">
        <w:rPr>
          <w:rFonts w:cs="Times New Roman"/>
          <w:szCs w:val="28"/>
        </w:rPr>
        <w:t xml:space="preserve">порядок размещения сведений о </w:t>
      </w:r>
      <w:r w:rsidR="005F2E6A" w:rsidRPr="00D26593">
        <w:rPr>
          <w:rFonts w:cs="Times New Roman"/>
          <w:szCs w:val="28"/>
        </w:rPr>
        <w:lastRenderedPageBreak/>
        <w:t>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A74F34" w:rsidRPr="00D26593">
        <w:rPr>
          <w:rFonts w:cs="Times New Roman"/>
          <w:szCs w:val="28"/>
        </w:rPr>
        <w:t>1.2</w:t>
      </w:r>
      <w:r w:rsidR="000D409F" w:rsidRPr="00D26593">
        <w:rPr>
          <w:rFonts w:cs="Times New Roman"/>
          <w:szCs w:val="28"/>
        </w:rPr>
        <w:t xml:space="preserve"> и</w:t>
      </w:r>
      <w:r w:rsidRPr="00D26593">
        <w:rPr>
          <w:rFonts w:cs="Times New Roman"/>
          <w:szCs w:val="28"/>
        </w:rPr>
        <w:t>4 части1 статьи8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службыдолжны устанавливатьсяорганами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DE602C" w:rsidRPr="00D26593">
        <w:rPr>
          <w:rFonts w:cs="Times New Roman"/>
          <w:szCs w:val="28"/>
        </w:rPr>
        <w:t>в</w:t>
      </w:r>
      <w:r w:rsidR="00016B1E" w:rsidRPr="00D26593">
        <w:rPr>
          <w:rFonts w:cs="Times New Roman"/>
          <w:szCs w:val="28"/>
        </w:rPr>
        <w:t>осуществлении</w:t>
      </w:r>
      <w:r w:rsidR="00222B0B" w:rsidRPr="00D26593">
        <w:rPr>
          <w:rFonts w:cs="Times New Roman"/>
          <w:szCs w:val="28"/>
        </w:rPr>
        <w:t>анализ</w:t>
      </w:r>
      <w:r w:rsidR="00016B1E" w:rsidRPr="00D26593">
        <w:rPr>
          <w:rFonts w:cs="Times New Roman"/>
          <w:szCs w:val="28"/>
        </w:rPr>
        <w:t>а</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25192" w:rsidRPr="00D26593">
        <w:rPr>
          <w:rFonts w:cs="Times New Roman"/>
          <w:szCs w:val="28"/>
        </w:rPr>
        <w:t>мониторинг</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1D342D" w:rsidRPr="00D26593">
        <w:rPr>
          <w:rFonts w:cs="Times New Roman"/>
          <w:szCs w:val="28"/>
        </w:rPr>
        <w:t>2 статьи8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1D342D" w:rsidRPr="00D26593">
        <w:rPr>
          <w:rFonts w:cs="Times New Roman"/>
          <w:szCs w:val="28"/>
        </w:rPr>
        <w:t>част</w:t>
      </w:r>
      <w:r w:rsidR="0068063B" w:rsidRPr="00D26593">
        <w:rPr>
          <w:rFonts w:cs="Times New Roman"/>
          <w:szCs w:val="28"/>
        </w:rPr>
        <w:t>ью</w:t>
      </w:r>
      <w:r w:rsidR="001D342D" w:rsidRPr="00D26593">
        <w:rPr>
          <w:rFonts w:cs="Times New Roman"/>
          <w:szCs w:val="28"/>
        </w:rPr>
        <w:t xml:space="preserve">1 статьи15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983AED" w:rsidRPr="00D26593">
        <w:rPr>
          <w:rFonts w:cs="Times New Roman"/>
          <w:szCs w:val="28"/>
        </w:rPr>
        <w:t>утверждает</w:t>
      </w:r>
      <w:r w:rsidR="00662E16" w:rsidRPr="00D26593">
        <w:rPr>
          <w:rFonts w:cs="Times New Roman"/>
          <w:szCs w:val="28"/>
        </w:rPr>
        <w:t xml:space="preserve"> собственный</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части7 статьи8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 xml:space="preserve">Пунктом6 Указа </w:t>
      </w:r>
      <w:r w:rsidR="00AF001A" w:rsidRPr="00D26593">
        <w:rPr>
          <w:rFonts w:cs="Times New Roman"/>
          <w:szCs w:val="28"/>
        </w:rPr>
        <w:t>Президента Российской Федерации</w:t>
      </w:r>
      <w:r w:rsidR="001F3239" w:rsidRPr="00D26593">
        <w:rPr>
          <w:rFonts w:cs="Times New Roman"/>
          <w:szCs w:val="28"/>
        </w:rPr>
        <w:t>от 21сентября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8132C8" w:rsidRPr="00D26593">
        <w:rPr>
          <w:rFonts w:cs="Times New Roman"/>
          <w:szCs w:val="28"/>
        </w:rPr>
        <w:t>(далее – Указ № 1065)</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частью6 статьи15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окв целях противодействия коррупции</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D64B35">
        <w:rPr>
          <w:rFonts w:cs="Times New Roman"/>
          <w:szCs w:val="28"/>
        </w:rPr>
        <w:t>части 7 статьи 8 Федерального закона № 273-ФЗ</w:t>
      </w:r>
      <w:r w:rsidR="00A365AA" w:rsidRPr="00D64B35">
        <w:rPr>
          <w:rFonts w:cs="Times New Roman"/>
          <w:szCs w:val="28"/>
        </w:rPr>
        <w:t>,</w:t>
      </w:r>
      <w:r w:rsidR="006F1CEE" w:rsidRPr="00D64B35">
        <w:rPr>
          <w:rFonts w:cs="Times New Roman"/>
          <w:szCs w:val="28"/>
        </w:rPr>
        <w:t xml:space="preserve">пункта6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(подпункт«л» пункта3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5F2AC1" w:rsidRPr="00D26593">
        <w:rPr>
          <w:rFonts w:cs="Times New Roman"/>
          <w:szCs w:val="28"/>
        </w:rPr>
        <w:t xml:space="preserve">может </w:t>
      </w:r>
      <w:r w:rsidR="003D732A" w:rsidRPr="00D26593">
        <w:rPr>
          <w:rFonts w:cs="Times New Roman"/>
          <w:szCs w:val="28"/>
        </w:rPr>
        <w:t>содержать</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A77B28" w:rsidRPr="00D26593">
        <w:rPr>
          <w:rFonts w:cs="Times New Roman"/>
          <w:szCs w:val="28"/>
        </w:rPr>
        <w:t>обращений</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Частью6 статьи8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частью9 статьи15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Пунктом8 Указа</w:t>
      </w:r>
      <w:r w:rsidR="00033714" w:rsidRPr="00D26593">
        <w:rPr>
          <w:rFonts w:cs="Times New Roman"/>
          <w:szCs w:val="28"/>
        </w:rPr>
        <w:t xml:space="preserve"> Президента Российской Федерации от 8июля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332C1A" w:rsidRPr="00D26593">
        <w:rPr>
          <w:rFonts w:cs="Times New Roman"/>
          <w:szCs w:val="28"/>
        </w:rPr>
        <w:t>5</w:t>
      </w:r>
      <w:r w:rsidR="00C12BFC">
        <w:rPr>
          <w:rFonts w:cs="Times New Roman"/>
          <w:szCs w:val="28"/>
        </w:rPr>
        <w:t>раздела</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(подпункты«г»</w:t>
      </w:r>
      <w:r w:rsidR="00684AA0" w:rsidRPr="00D26593">
        <w:rPr>
          <w:rFonts w:cs="Times New Roman"/>
          <w:szCs w:val="28"/>
        </w:rPr>
        <w:t>и</w:t>
      </w:r>
      <w:r w:rsidRPr="00D26593">
        <w:rPr>
          <w:rFonts w:cs="Times New Roman"/>
          <w:szCs w:val="28"/>
        </w:rPr>
        <w:t>«ж» пункта1 части1 статьи2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унктом6</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BE41D1" w:rsidRPr="00D26593">
        <w:rPr>
          <w:rFonts w:cs="Times New Roman"/>
          <w:szCs w:val="28"/>
        </w:rPr>
        <w:t xml:space="preserve">при осуществленииконтроля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 xml:space="preserve">273-ФЗи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пункте6</w:t>
      </w:r>
      <w:r w:rsidR="00274D6C" w:rsidRPr="00D26593">
        <w:rPr>
          <w:rFonts w:cs="Times New Roman"/>
          <w:szCs w:val="28"/>
        </w:rPr>
        <w:t xml:space="preserve"> Указ</w:t>
      </w:r>
      <w:r w:rsidR="0093759E" w:rsidRPr="00D26593">
        <w:rPr>
          <w:rFonts w:cs="Times New Roman"/>
          <w:szCs w:val="28"/>
        </w:rPr>
        <w:t>а</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 xml:space="preserve">В соответствии с частью3 статьи5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(часть6 статьи5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F7436C" w:rsidRPr="00D26593">
        <w:rPr>
          <w:rFonts w:cs="Times New Roman"/>
          <w:szCs w:val="28"/>
        </w:rPr>
        <w:t>который</w:t>
      </w:r>
      <w:r w:rsidR="0072593F" w:rsidRPr="00D26593">
        <w:rPr>
          <w:rFonts w:cs="Times New Roman"/>
          <w:szCs w:val="28"/>
        </w:rPr>
        <w:t xml:space="preserve">долженсодержать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4601" w:type="dxa"/>
        <w:tblInd w:w="108" w:type="dxa"/>
        <w:tblLook w:val="04A0"/>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органомсубъектаРоссийской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D47B59" w:rsidRPr="00D26593">
        <w:rPr>
          <w:rFonts w:cs="Times New Roman"/>
          <w:szCs w:val="28"/>
        </w:rPr>
        <w:t xml:space="preserve">положениясодержат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(далее–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6B2DBE" w:rsidRPr="00D26593">
        <w:rPr>
          <w:rFonts w:cs="Times New Roman"/>
          <w:szCs w:val="28"/>
        </w:rPr>
        <w:t>возл</w:t>
      </w:r>
      <w:r w:rsidR="00D24DA2" w:rsidRPr="00D26593">
        <w:rPr>
          <w:rFonts w:cs="Times New Roman"/>
          <w:szCs w:val="28"/>
        </w:rPr>
        <w:t>ожены</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w:t>
      </w:r>
      <w:r w:rsidR="00E83B7B" w:rsidRPr="00D26593">
        <w:rPr>
          <w:rFonts w:cs="Times New Roman"/>
          <w:szCs w:val="28"/>
        </w:rPr>
        <w:lastRenderedPageBreak/>
        <w:t xml:space="preserve">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 xml:space="preserve">Частью7.3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lastRenderedPageBreak/>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lastRenderedPageBreak/>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 xml:space="preserve">депутатом представительного органа местного самоуправления(далее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досрочно.В</w:t>
      </w:r>
      <w:r w:rsidR="00D94D48" w:rsidRPr="00637EFE">
        <w:rPr>
          <w:rFonts w:cs="Times New Roman"/>
          <w:szCs w:val="28"/>
        </w:rPr>
        <w:t xml:space="preserve"> этой связи</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w:t>
      </w:r>
      <w:r w:rsidR="00E83B7B" w:rsidRPr="00637EFE">
        <w:rPr>
          <w:rFonts w:cs="Times New Roman"/>
          <w:szCs w:val="28"/>
        </w:rPr>
        <w:lastRenderedPageBreak/>
        <w:t xml:space="preserve">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w:t>
      </w:r>
      <w:r w:rsidRPr="00353F48">
        <w:rPr>
          <w:rFonts w:cs="Times New Roman"/>
          <w:szCs w:val="28"/>
        </w:rPr>
        <w:lastRenderedPageBreak/>
        <w:t xml:space="preserve">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0C6E8B" w:rsidRPr="00353F48">
        <w:rPr>
          <w:rFonts w:cs="Times New Roman"/>
          <w:szCs w:val="28"/>
        </w:rPr>
        <w:t>4 статьи14 Федерального закона № 131-ФЗ</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4D18CA" w:rsidRPr="00D26593">
        <w:rPr>
          <w:rFonts w:cs="Times New Roman"/>
          <w:szCs w:val="28"/>
        </w:rPr>
        <w:t>долж</w:t>
      </w:r>
      <w:r w:rsidR="00501899" w:rsidRPr="00D26593">
        <w:rPr>
          <w:rFonts w:cs="Times New Roman"/>
          <w:szCs w:val="28"/>
        </w:rPr>
        <w:t>ен</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амрекомендуется</w:t>
      </w:r>
      <w:r w:rsidR="00E26EDF" w:rsidRPr="00D26593">
        <w:rPr>
          <w:rFonts w:cs="Times New Roman"/>
          <w:szCs w:val="28"/>
        </w:rPr>
        <w:t>осуществлять</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FE3CD6" w:rsidRPr="00D26593">
        <w:rPr>
          <w:rFonts w:cs="Times New Roman"/>
          <w:szCs w:val="28"/>
        </w:rPr>
        <w:t>а также</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 xml:space="preserve">Согласно части 4.1 статьи 12.1 Федерального закона № 273-ФЗ лица, замещающие муниципальные должности, обязаны сообщать в порядке, </w:t>
      </w:r>
      <w:r w:rsidRPr="00D26593">
        <w:rPr>
          <w:rFonts w:cs="Times New Roman"/>
          <w:szCs w:val="28"/>
        </w:rPr>
        <w:lastRenderedPageBreak/>
        <w:t>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w:t>
      </w:r>
      <w:r w:rsidR="00836560" w:rsidRPr="00D26593">
        <w:rPr>
          <w:rFonts w:cs="Times New Roman"/>
          <w:szCs w:val="28"/>
        </w:rPr>
        <w:lastRenderedPageBreak/>
        <w:t xml:space="preserve">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Пунктом4 части2 статьи7 Федерального закона от 7мая 2013 г. </w:t>
      </w:r>
      <w:r w:rsidRPr="00D26593">
        <w:rPr>
          <w:rFonts w:cs="Times New Roman"/>
          <w:szCs w:val="28"/>
        </w:rPr>
        <w:br/>
        <w:t>№ 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 xml:space="preserve">на </w:t>
      </w:r>
      <w:r w:rsidR="00632C24" w:rsidRPr="00D26593">
        <w:rPr>
          <w:rFonts w:cs="Times New Roman"/>
          <w:szCs w:val="28"/>
        </w:rPr>
        <w:lastRenderedPageBreak/>
        <w:t>которыхраспространяется</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Pr="00D26593">
        <w:rPr>
          <w:rFonts w:cs="Times New Roman"/>
          <w:szCs w:val="28"/>
        </w:rPr>
        <w:t xml:space="preserve">(далее – запросы в иностранные банки).Приэтом полномочия органов, подразделений и должностных лиц,указанных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lastRenderedPageBreak/>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7F3" w:rsidRDefault="000957F3" w:rsidP="00BC12B9">
      <w:pPr>
        <w:spacing w:after="0" w:line="240" w:lineRule="auto"/>
      </w:pPr>
      <w:r>
        <w:separator/>
      </w:r>
    </w:p>
  </w:endnote>
  <w:endnote w:type="continuationSeparator" w:id="1">
    <w:p w:rsidR="000957F3" w:rsidRDefault="000957F3"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7F3" w:rsidRDefault="000957F3" w:rsidP="00BC12B9">
      <w:pPr>
        <w:spacing w:after="0" w:line="240" w:lineRule="auto"/>
      </w:pPr>
      <w:r>
        <w:separator/>
      </w:r>
    </w:p>
  </w:footnote>
  <w:footnote w:type="continuationSeparator" w:id="1">
    <w:p w:rsidR="000957F3" w:rsidRDefault="000957F3" w:rsidP="00BC12B9">
      <w:pPr>
        <w:spacing w:after="0" w:line="240" w:lineRule="auto"/>
      </w:pPr>
      <w:r>
        <w:continuationSeparator/>
      </w:r>
    </w:p>
  </w:footnote>
  <w:footnote w:id="2">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3">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016996" w:rsidRDefault="00317E89" w:rsidP="00477513">
        <w:pPr>
          <w:pStyle w:val="a3"/>
          <w:ind w:firstLine="0"/>
          <w:jc w:val="center"/>
        </w:pPr>
        <w:r>
          <w:fldChar w:fldCharType="begin"/>
        </w:r>
        <w:r w:rsidR="004B6B80">
          <w:instrText xml:space="preserve"> PAGE   \* MERGEFORMAT </w:instrText>
        </w:r>
        <w:r>
          <w:fldChar w:fldCharType="separate"/>
        </w:r>
        <w:r w:rsidR="001B1723">
          <w:rPr>
            <w:noProof/>
          </w:rPr>
          <w:t>13</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57F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1723"/>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17E8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6B80"/>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46A3"/>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923FD-2A5D-40C0-AB3F-94C0B52F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9482</Words>
  <Characters>54050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Юдина</cp:lastModifiedBy>
  <cp:revision>2</cp:revision>
  <cp:lastPrinted>2019-11-18T12:56:00Z</cp:lastPrinted>
  <dcterms:created xsi:type="dcterms:W3CDTF">2020-01-15T14:54:00Z</dcterms:created>
  <dcterms:modified xsi:type="dcterms:W3CDTF">2020-01-15T14:54:00Z</dcterms:modified>
</cp:coreProperties>
</file>